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cs="Times New Roman"/>
          <w:sz w:val="52"/>
          <w:szCs w:val="52"/>
        </w:rPr>
      </w:pPr>
    </w:p>
    <w:p>
      <w:pPr>
        <w:spacing w:line="360" w:lineRule="auto"/>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pStyle w:val="2"/>
      </w:pPr>
    </w:p>
    <w:p>
      <w:pPr>
        <w:spacing w:line="360" w:lineRule="auto"/>
        <w:jc w:val="center"/>
        <w:rPr>
          <w:rFonts w:ascii="Times New Roman" w:hAnsi="Times New Roman" w:eastAsia="宋体" w:cs="Times New Roman"/>
          <w:bCs/>
          <w:color w:val="000000" w:themeColor="text1"/>
          <w:w w:val="66"/>
          <w:sz w:val="144"/>
          <w:szCs w:val="144"/>
        </w:rPr>
      </w:pPr>
      <w:r>
        <w:rPr>
          <w:rFonts w:ascii="Times New Roman" w:hAnsi="Times New Roman" w:eastAsia="宋体" w:cs="Times New Roman"/>
          <w:bCs/>
          <w:color w:val="000000" w:themeColor="text1"/>
          <w:w w:val="66"/>
          <w:sz w:val="144"/>
          <w:szCs w:val="144"/>
        </w:rPr>
        <w:t>竞争性磋商文件</w:t>
      </w: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spacing w:line="360" w:lineRule="auto"/>
        <w:rPr>
          <w:rFonts w:ascii="Times New Roman" w:hAnsi="Times New Roman" w:cs="Times New Roman"/>
          <w:sz w:val="72"/>
          <w:szCs w:val="20"/>
        </w:rPr>
      </w:pPr>
    </w:p>
    <w:p>
      <w:pPr>
        <w:spacing w:line="360" w:lineRule="auto"/>
        <w:rPr>
          <w:rFonts w:ascii="Times New Roman" w:hAnsi="Times New Roman" w:cs="Times New Roman"/>
          <w:sz w:val="30"/>
          <w:szCs w:val="30"/>
        </w:rPr>
      </w:pPr>
      <w:r>
        <w:rPr>
          <w:rFonts w:ascii="Times New Roman" w:hAnsi="Times New Roman" w:cs="Times New Roman"/>
          <w:sz w:val="30"/>
          <w:szCs w:val="30"/>
        </w:rPr>
        <w:t>项目编号：</w:t>
      </w:r>
      <w:r>
        <w:rPr>
          <w:rFonts w:hint="eastAsia" w:ascii="宋体" w:hAnsi="宋体" w:cs="仿宋"/>
          <w:sz w:val="30"/>
          <w:szCs w:val="30"/>
        </w:rPr>
        <w:t>131-</w:t>
      </w:r>
      <w:r>
        <w:rPr>
          <w:rFonts w:hint="eastAsia" w:ascii="Times New Roman" w:hAnsi="Times New Roman" w:cs="Times New Roman"/>
          <w:sz w:val="30"/>
          <w:szCs w:val="30"/>
        </w:rPr>
        <w:t>2</w:t>
      </w:r>
      <w:r>
        <w:rPr>
          <w:rFonts w:hint="eastAsia" w:ascii="宋体" w:hAnsi="宋体" w:cs="仿宋"/>
          <w:sz w:val="30"/>
          <w:szCs w:val="30"/>
        </w:rPr>
        <w:t>020CG-202</w:t>
      </w:r>
    </w:p>
    <w:p>
      <w:pPr>
        <w:spacing w:line="360" w:lineRule="auto"/>
        <w:rPr>
          <w:rFonts w:ascii="Times New Roman" w:hAnsi="Times New Roman" w:cs="Times New Roman"/>
          <w:sz w:val="30"/>
          <w:szCs w:val="30"/>
        </w:rPr>
      </w:pPr>
      <w:r>
        <w:rPr>
          <w:rFonts w:hint="eastAsia" w:ascii="Times New Roman" w:hAnsi="Times New Roman" w:cs="Times New Roman"/>
          <w:sz w:val="30"/>
          <w:szCs w:val="30"/>
        </w:rPr>
        <w:t>采 购 人：</w:t>
      </w:r>
      <w:r>
        <w:rPr>
          <w:rFonts w:hint="eastAsia" w:ascii="宋体" w:hAnsi="宋体" w:eastAsia="宋体" w:cs="仿宋"/>
          <w:bCs/>
          <w:color w:val="000000"/>
          <w:sz w:val="30"/>
          <w:szCs w:val="30"/>
        </w:rPr>
        <w:t>阳新县自然资源和规划局</w:t>
      </w:r>
    </w:p>
    <w:p>
      <w:pPr>
        <w:tabs>
          <w:tab w:val="left" w:pos="7230"/>
        </w:tabs>
        <w:spacing w:line="360" w:lineRule="auto"/>
        <w:rPr>
          <w:rFonts w:ascii="宋体" w:hAnsi="宋体" w:cs="仿宋"/>
          <w:sz w:val="28"/>
          <w:szCs w:val="28"/>
        </w:rPr>
      </w:pPr>
      <w:r>
        <w:rPr>
          <w:rFonts w:ascii="Times New Roman" w:hAnsi="Times New Roman" w:cs="Times New Roman"/>
          <w:sz w:val="30"/>
          <w:szCs w:val="30"/>
        </w:rPr>
        <w:t>项目名称：</w:t>
      </w:r>
      <w:bookmarkStart w:id="3" w:name="_GoBack"/>
      <w:r>
        <w:rPr>
          <w:rFonts w:hint="eastAsia" w:ascii="宋体" w:hAnsi="宋体" w:eastAsia="宋体" w:cs="仿宋"/>
          <w:bCs/>
          <w:sz w:val="28"/>
          <w:szCs w:val="28"/>
        </w:rPr>
        <w:t>阳新县南市村生态产品价值实现路径试点编制项目</w:t>
      </w:r>
      <w:bookmarkEnd w:id="3"/>
    </w:p>
    <w:p>
      <w:pPr>
        <w:spacing w:line="360" w:lineRule="auto"/>
        <w:rPr>
          <w:rFonts w:ascii="宋体" w:hAnsi="宋体" w:cs="仿宋"/>
          <w:bCs/>
          <w:sz w:val="30"/>
          <w:szCs w:val="30"/>
        </w:rPr>
      </w:pPr>
      <w:r>
        <w:rPr>
          <w:rFonts w:hint="eastAsia" w:ascii="Times New Roman" w:hAnsi="Times New Roman" w:cs="Times New Roman"/>
          <w:sz w:val="30"/>
          <w:szCs w:val="30"/>
        </w:rPr>
        <w:t>采购</w:t>
      </w:r>
      <w:r>
        <w:rPr>
          <w:rFonts w:ascii="Times New Roman" w:hAnsi="Times New Roman" w:cs="Times New Roman"/>
          <w:sz w:val="30"/>
          <w:szCs w:val="30"/>
        </w:rPr>
        <w:t>内容：</w:t>
      </w:r>
      <w:r>
        <w:rPr>
          <w:rFonts w:hint="eastAsia" w:ascii="宋体" w:hAnsi="宋体" w:eastAsia="宋体" w:cs="仿宋"/>
          <w:bCs/>
          <w:sz w:val="30"/>
          <w:szCs w:val="30"/>
        </w:rPr>
        <w:t>南市村生态产品价值实现路径试点专题研究报告编制</w:t>
      </w:r>
    </w:p>
    <w:p>
      <w:pPr>
        <w:pStyle w:val="2"/>
      </w:pPr>
    </w:p>
    <w:p>
      <w:pPr>
        <w:spacing w:line="360" w:lineRule="auto"/>
        <w:rPr>
          <w:rFonts w:ascii="Times New Roman" w:hAnsi="Times New Roman" w:cs="Times New Roman"/>
          <w:sz w:val="30"/>
          <w:szCs w:val="30"/>
        </w:rPr>
      </w:pPr>
    </w:p>
    <w:p>
      <w:pPr>
        <w:jc w:val="center"/>
        <w:rPr>
          <w:rFonts w:ascii="宋体" w:hAnsi="宋体" w:cs="仿宋"/>
          <w:bCs/>
          <w:color w:val="000000"/>
          <w:sz w:val="48"/>
          <w:szCs w:val="48"/>
        </w:rPr>
      </w:pPr>
      <w:r>
        <w:rPr>
          <w:rFonts w:hint="eastAsia" w:ascii="宋体" w:hAnsi="宋体" w:cs="仿宋"/>
          <w:bCs/>
          <w:color w:val="000000"/>
          <w:sz w:val="48"/>
          <w:szCs w:val="48"/>
        </w:rPr>
        <w:t>中新创达咨询有限公司</w:t>
      </w:r>
    </w:p>
    <w:p>
      <w:pPr>
        <w:spacing w:line="360" w:lineRule="auto"/>
        <w:jc w:val="center"/>
        <w:rPr>
          <w:rFonts w:ascii="Times New Roman" w:hAnsi="Times New Roman" w:cs="Times New Roman"/>
          <w:sz w:val="32"/>
          <w:szCs w:val="32"/>
        </w:rPr>
      </w:pPr>
    </w:p>
    <w:p>
      <w:pPr>
        <w:spacing w:line="360" w:lineRule="auto"/>
        <w:jc w:val="center"/>
        <w:rPr>
          <w:rFonts w:ascii="Times New Roman" w:hAnsi="Times New Roman" w:cs="Times New Roman"/>
          <w:sz w:val="32"/>
          <w:szCs w:val="32"/>
        </w:rPr>
      </w:pPr>
      <w:r>
        <w:rPr>
          <w:rFonts w:hint="eastAsia" w:ascii="Times New Roman" w:hAnsi="Times New Roman" w:cs="Times New Roman"/>
          <w:sz w:val="32"/>
          <w:szCs w:val="32"/>
        </w:rPr>
        <w:t>2020</w:t>
      </w:r>
      <w:r>
        <w:rPr>
          <w:rFonts w:ascii="Times New Roman" w:hAnsi="Times New Roman" w:cs="Times New Roman"/>
          <w:sz w:val="32"/>
          <w:szCs w:val="32"/>
        </w:rPr>
        <w:t>年</w:t>
      </w:r>
      <w:r>
        <w:rPr>
          <w:rFonts w:hint="eastAsia" w:ascii="Times New Roman" w:hAnsi="Times New Roman" w:cs="Times New Roman"/>
          <w:sz w:val="32"/>
          <w:szCs w:val="32"/>
        </w:rPr>
        <w:t>10</w:t>
      </w:r>
      <w:r>
        <w:rPr>
          <w:rFonts w:ascii="Times New Roman" w:hAnsi="Times New Roman" w:cs="Times New Roman"/>
          <w:sz w:val="32"/>
          <w:szCs w:val="32"/>
        </w:rPr>
        <w:t>月</w:t>
      </w:r>
    </w:p>
    <w:p>
      <w:pPr>
        <w:pStyle w:val="2"/>
        <w:ind w:firstLine="640"/>
        <w:rPr>
          <w:rFonts w:ascii="Times New Roman" w:hAnsi="Times New Roman" w:cs="Times New Roman"/>
          <w:sz w:val="32"/>
          <w:szCs w:val="32"/>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  录</w:t>
      </w:r>
    </w:p>
    <w:p>
      <w:pPr>
        <w:spacing w:line="360" w:lineRule="auto"/>
        <w:rPr>
          <w:rFonts w:ascii="Times New Roman" w:hAnsi="Times New Roman" w:eastAsia="黑体" w:cs="Times New Roman"/>
          <w:sz w:val="24"/>
          <w:szCs w:val="24"/>
        </w:rPr>
      </w:pP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第一章  磋商邀请函·········································································</w:t>
      </w:r>
      <w:r>
        <w:rPr>
          <w:rFonts w:hint="eastAsia" w:ascii="Times New Roman" w:hAnsi="Times New Roman" w:cs="Times New Roman"/>
          <w:sz w:val="24"/>
          <w:szCs w:val="24"/>
        </w:rPr>
        <w:t>3</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第二章  磋商须知············································································</w:t>
      </w:r>
      <w:r>
        <w:rPr>
          <w:rFonts w:hint="eastAsia" w:ascii="Times New Roman" w:hAnsi="Times New Roman" w:cs="Times New Roman"/>
          <w:sz w:val="24"/>
          <w:szCs w:val="24"/>
        </w:rPr>
        <w:t xml:space="preserve"> 5</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第三章  采购</w:t>
      </w:r>
      <w:r>
        <w:rPr>
          <w:rFonts w:hint="eastAsia" w:ascii="Times New Roman" w:hAnsi="Times New Roman" w:cs="Times New Roman"/>
          <w:sz w:val="24"/>
          <w:szCs w:val="24"/>
        </w:rPr>
        <w:t>需</w:t>
      </w:r>
      <w:r>
        <w:rPr>
          <w:rFonts w:ascii="Times New Roman" w:hAnsi="Times New Roman" w:cs="Times New Roman"/>
          <w:sz w:val="24"/>
          <w:szCs w:val="24"/>
        </w:rPr>
        <w:t>求············································································</w:t>
      </w:r>
      <w:r>
        <w:rPr>
          <w:rFonts w:hint="eastAsia" w:ascii="Times New Roman" w:hAnsi="Times New Roman" w:cs="Times New Roman"/>
          <w:sz w:val="24"/>
          <w:szCs w:val="24"/>
        </w:rPr>
        <w:t>15</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第四章  评审办法及评审标准·····························································</w:t>
      </w:r>
      <w:r>
        <w:rPr>
          <w:rFonts w:hint="eastAsia" w:ascii="Times New Roman" w:hAnsi="Times New Roman" w:cs="Times New Roman"/>
          <w:sz w:val="24"/>
          <w:szCs w:val="24"/>
        </w:rPr>
        <w:t>16</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第五章  合同书（</w:t>
      </w:r>
      <w:r>
        <w:rPr>
          <w:rFonts w:hint="eastAsia" w:ascii="Times New Roman" w:hAnsi="Times New Roman" w:cs="Times New Roman"/>
          <w:sz w:val="24"/>
          <w:szCs w:val="24"/>
        </w:rPr>
        <w:t>参考</w:t>
      </w:r>
      <w:r>
        <w:rPr>
          <w:rFonts w:ascii="Times New Roman" w:hAnsi="Times New Roman" w:cs="Times New Roman"/>
          <w:sz w:val="24"/>
          <w:szCs w:val="24"/>
        </w:rPr>
        <w:t>格式）·····························································</w:t>
      </w:r>
      <w:r>
        <w:rPr>
          <w:rFonts w:hint="eastAsia" w:ascii="Times New Roman" w:hAnsi="Times New Roman" w:cs="Times New Roman"/>
          <w:sz w:val="24"/>
          <w:szCs w:val="24"/>
        </w:rPr>
        <w:t>18</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第六章  响应文件格式······································································</w:t>
      </w:r>
      <w:r>
        <w:rPr>
          <w:rFonts w:hint="eastAsia" w:ascii="Times New Roman" w:hAnsi="Times New Roman" w:cs="Times New Roman"/>
          <w:sz w:val="24"/>
          <w:szCs w:val="24"/>
        </w:rPr>
        <w:t>2</w:t>
      </w:r>
      <w:r>
        <w:rPr>
          <w:rFonts w:ascii="Times New Roman" w:hAnsi="Times New Roman" w:cs="Times New Roman"/>
          <w:sz w:val="24"/>
          <w:szCs w:val="24"/>
        </w:rPr>
        <w:t>0</w:t>
      </w:r>
    </w:p>
    <w:p>
      <w:pPr>
        <w:spacing w:line="360" w:lineRule="auto"/>
        <w:jc w:val="left"/>
        <w:rPr>
          <w:rFonts w:ascii="Times New Roman" w:hAnsi="Times New Roman" w:cs="Times New Roman"/>
          <w:sz w:val="24"/>
          <w:szCs w:val="24"/>
        </w:rPr>
      </w:pPr>
    </w:p>
    <w:p>
      <w:pPr>
        <w:widowControl/>
        <w:spacing w:line="360" w:lineRule="auto"/>
        <w:jc w:val="left"/>
        <w:rPr>
          <w:rFonts w:ascii="Times New Roman" w:hAnsi="Times New Roman" w:cs="Times New Roman"/>
          <w:sz w:val="24"/>
          <w:szCs w:val="24"/>
        </w:rPr>
        <w:sectPr>
          <w:footerReference r:id="rId3" w:type="default"/>
          <w:pgSz w:w="11906" w:h="16838"/>
          <w:pgMar w:top="1440" w:right="1800" w:bottom="1440" w:left="1800" w:header="851" w:footer="992" w:gutter="0"/>
          <w:cols w:space="425" w:num="1"/>
          <w:titlePg/>
          <w:docGrid w:type="lines" w:linePitch="312" w:charSpace="0"/>
        </w:sectPr>
      </w:pPr>
    </w:p>
    <w:p>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第一章 邀请函</w:t>
      </w:r>
    </w:p>
    <w:p>
      <w:pPr>
        <w:spacing w:line="360" w:lineRule="auto"/>
        <w:rPr>
          <w:rFonts w:ascii="Times New Roman" w:hAnsi="Times New Roman" w:cs="Times New Roman"/>
          <w:bCs/>
          <w:sz w:val="24"/>
          <w:szCs w:val="24"/>
          <w:lang w:bidi="ar-EG"/>
        </w:rPr>
      </w:pPr>
    </w:p>
    <w:p>
      <w:pPr>
        <w:adjustRightInd w:val="0"/>
        <w:snapToGrid w:val="0"/>
        <w:spacing w:line="400" w:lineRule="exact"/>
        <w:rPr>
          <w:rFonts w:ascii="Times New Roman" w:hAnsi="Times New Roman" w:cs="Times New Roman"/>
          <w:sz w:val="24"/>
          <w:szCs w:val="24"/>
          <w:u w:val="single"/>
        </w:rPr>
      </w:pPr>
      <w:r>
        <w:rPr>
          <w:rFonts w:ascii="Times New Roman" w:hAnsi="Times New Roman" w:cs="Times New Roman"/>
          <w:bCs/>
          <w:sz w:val="24"/>
          <w:szCs w:val="24"/>
          <w:u w:val="single"/>
          <w:lang w:bidi="ar-EG"/>
        </w:rPr>
        <w:t>（受邀请供应商名称）：</w:t>
      </w:r>
    </w:p>
    <w:p>
      <w:pPr>
        <w:adjustRightInd w:val="0"/>
        <w:snapToGrid w:val="0"/>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磋商小组确定你公司为</w:t>
      </w:r>
      <w:r>
        <w:rPr>
          <w:rFonts w:hint="eastAsia" w:ascii="宋体" w:hAnsi="宋体"/>
          <w:bCs/>
          <w:color w:val="000000"/>
          <w:sz w:val="24"/>
        </w:rPr>
        <w:t>阳新县南市村生态产品价值实现路径试点编制项目</w:t>
      </w:r>
      <w:r>
        <w:rPr>
          <w:rFonts w:hint="eastAsia" w:ascii="Times New Roman" w:hAnsi="Times New Roman" w:cs="Times New Roman"/>
          <w:sz w:val="24"/>
          <w:szCs w:val="24"/>
        </w:rPr>
        <w:t>（</w:t>
      </w:r>
      <w:r>
        <w:rPr>
          <w:rFonts w:hint="eastAsia"/>
          <w:sz w:val="24"/>
          <w:szCs w:val="24"/>
        </w:rPr>
        <w:t>阳财采计备[ 2020 ] A166号</w:t>
      </w:r>
      <w:r>
        <w:rPr>
          <w:rFonts w:hint="eastAsia" w:ascii="Times New Roman" w:hAnsi="Times New Roman" w:cs="Times New Roman"/>
          <w:sz w:val="24"/>
          <w:szCs w:val="24"/>
        </w:rPr>
        <w:t>）</w:t>
      </w:r>
      <w:r>
        <w:rPr>
          <w:rFonts w:ascii="Times New Roman" w:hAnsi="Times New Roman" w:cs="Times New Roman"/>
          <w:sz w:val="24"/>
          <w:szCs w:val="24"/>
        </w:rPr>
        <w:t>磋商供应商，现邀请你公司参加竞争性磋商。</w:t>
      </w:r>
    </w:p>
    <w:p>
      <w:pPr>
        <w:adjustRightInd w:val="0"/>
        <w:snapToGrid w:val="0"/>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一、项目编号：</w:t>
      </w:r>
      <w:r>
        <w:rPr>
          <w:rFonts w:hint="eastAsia" w:ascii="Times New Roman" w:hAnsi="Times New Roman" w:cs="Times New Roman"/>
          <w:sz w:val="24"/>
          <w:szCs w:val="24"/>
        </w:rPr>
        <w:t xml:space="preserve">131-2020CG-202    </w:t>
      </w:r>
    </w:p>
    <w:p>
      <w:pPr>
        <w:adjustRightInd w:val="0"/>
        <w:snapToGrid w:val="0"/>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二、项目名称：</w:t>
      </w:r>
      <w:r>
        <w:rPr>
          <w:rFonts w:hint="eastAsia" w:ascii="Times New Roman" w:hAnsi="Times New Roman" w:cs="Times New Roman"/>
          <w:bCs/>
          <w:sz w:val="24"/>
          <w:szCs w:val="24"/>
        </w:rPr>
        <w:t>阳新县南市村生态产品价值实现路径试点编制项目</w:t>
      </w:r>
    </w:p>
    <w:p>
      <w:pPr>
        <w:pStyle w:val="9"/>
        <w:widowControl/>
        <w:spacing w:beforeAutospacing="0" w:afterAutospacing="0" w:line="400" w:lineRule="exact"/>
        <w:ind w:firstLine="480" w:firstLineChars="200"/>
        <w:rPr>
          <w:rFonts w:ascii="Times New Roman" w:hAnsi="Times New Roman"/>
          <w:kern w:val="2"/>
          <w:szCs w:val="24"/>
        </w:rPr>
      </w:pPr>
      <w:r>
        <w:rPr>
          <w:rFonts w:hint="eastAsia" w:ascii="Times New Roman" w:hAnsi="Times New Roman"/>
          <w:kern w:val="2"/>
          <w:szCs w:val="24"/>
        </w:rPr>
        <w:t>三、磋商内容：</w:t>
      </w:r>
      <w:r>
        <w:rPr>
          <w:rFonts w:hint="eastAsia" w:ascii="宋体" w:hAnsi="宋体"/>
          <w:bCs/>
          <w:color w:val="000000"/>
        </w:rPr>
        <w:t>南市村生态产品价值实现路径试点专题研究报告编制（详见采购需求）</w:t>
      </w:r>
    </w:p>
    <w:p>
      <w:pPr>
        <w:pStyle w:val="9"/>
        <w:widowControl/>
        <w:spacing w:beforeAutospacing="0" w:afterAutospacing="0" w:line="400" w:lineRule="exact"/>
        <w:ind w:firstLine="480"/>
        <w:rPr>
          <w:rFonts w:ascii="Times New Roman" w:hAnsi="Times New Roman"/>
          <w:kern w:val="2"/>
          <w:szCs w:val="24"/>
        </w:rPr>
      </w:pPr>
      <w:r>
        <w:rPr>
          <w:rFonts w:hint="eastAsia" w:ascii="Times New Roman" w:hAnsi="Times New Roman"/>
          <w:kern w:val="2"/>
          <w:szCs w:val="24"/>
        </w:rPr>
        <w:t>四、采购预算：80万元</w:t>
      </w:r>
    </w:p>
    <w:p>
      <w:pPr>
        <w:pStyle w:val="9"/>
        <w:widowControl/>
        <w:spacing w:beforeAutospacing="0" w:afterAutospacing="0" w:line="400" w:lineRule="exact"/>
        <w:ind w:firstLine="480"/>
        <w:rPr>
          <w:rFonts w:ascii="Times New Roman" w:hAnsi="Times New Roman"/>
          <w:kern w:val="2"/>
          <w:szCs w:val="24"/>
        </w:rPr>
      </w:pPr>
      <w:r>
        <w:rPr>
          <w:rFonts w:hint="eastAsia" w:ascii="Times New Roman" w:hAnsi="Times New Roman"/>
          <w:kern w:val="2"/>
          <w:szCs w:val="24"/>
        </w:rPr>
        <w:t>五、供应商资格条件</w:t>
      </w:r>
    </w:p>
    <w:p>
      <w:pPr>
        <w:tabs>
          <w:tab w:val="left" w:pos="896"/>
        </w:tabs>
        <w:spacing w:line="400" w:lineRule="exact"/>
        <w:ind w:left="482"/>
        <w:rPr>
          <w:rFonts w:ascii="Times New Roman" w:hAnsi="Times New Roman" w:cs="Times New Roman"/>
          <w:sz w:val="24"/>
          <w:szCs w:val="24"/>
        </w:rPr>
      </w:pPr>
      <w:r>
        <w:rPr>
          <w:rFonts w:hint="eastAsia" w:ascii="Times New Roman" w:hAnsi="Times New Roman" w:cs="Times New Roman"/>
          <w:sz w:val="24"/>
          <w:szCs w:val="24"/>
        </w:rPr>
        <w:t>（一）应具备《政府采购法》第二十二条第一款规定的条件；</w:t>
      </w:r>
    </w:p>
    <w:p>
      <w:pPr>
        <w:tabs>
          <w:tab w:val="left" w:pos="896"/>
        </w:tabs>
        <w:spacing w:line="400" w:lineRule="exact"/>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二）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adjustRightInd w:val="0"/>
        <w:snapToGrid w:val="0"/>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（三）特定条件：</w:t>
      </w:r>
    </w:p>
    <w:p>
      <w:pPr>
        <w:adjustRightInd w:val="0"/>
        <w:snapToGrid w:val="0"/>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1.供应商应具有行政主管部门颁发的土地规划乙级及以上资质；</w:t>
      </w:r>
    </w:p>
    <w:p>
      <w:pPr>
        <w:adjustRightInd w:val="0"/>
        <w:snapToGrid w:val="0"/>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2.供应商拟派本项目的项目负责人须具有土地管理或土地规划专业中级以上(含中级)技术职称；</w:t>
      </w:r>
    </w:p>
    <w:p>
      <w:pPr>
        <w:adjustRightInd w:val="0"/>
        <w:snapToGrid w:val="0"/>
        <w:spacing w:line="400" w:lineRule="exact"/>
        <w:ind w:firstLine="480" w:firstLineChars="200"/>
      </w:pPr>
      <w:r>
        <w:rPr>
          <w:rFonts w:hint="eastAsia" w:ascii="Times New Roman" w:hAnsi="Times New Roman" w:cs="Times New Roman"/>
          <w:sz w:val="24"/>
          <w:szCs w:val="24"/>
        </w:rPr>
        <w:t>（四）本项目不接收联合体投标。</w:t>
      </w:r>
    </w:p>
    <w:p>
      <w:pPr>
        <w:adjustRightInd w:val="0"/>
        <w:snapToGrid w:val="0"/>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六、是否专门面向中小企业：否。</w:t>
      </w:r>
    </w:p>
    <w:p>
      <w:pPr>
        <w:adjustRightInd w:val="0"/>
        <w:snapToGrid w:val="0"/>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七、竞争性磋商文件的获得</w:t>
      </w:r>
    </w:p>
    <w:p>
      <w:pPr>
        <w:adjustRightInd w:val="0"/>
        <w:snapToGrid w:val="0"/>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（一）领取时间：</w:t>
      </w:r>
      <w:r>
        <w:rPr>
          <w:rFonts w:hint="eastAsia" w:ascii="Times New Roman" w:hAnsi="Times New Roman" w:cs="Times New Roman"/>
          <w:sz w:val="24"/>
          <w:szCs w:val="24"/>
        </w:rPr>
        <w:t>即</w:t>
      </w:r>
      <w:r>
        <w:rPr>
          <w:rFonts w:ascii="Times New Roman" w:hAnsi="Times New Roman" w:cs="Times New Roman"/>
          <w:sz w:val="24"/>
          <w:szCs w:val="24"/>
        </w:rPr>
        <w:t>日起至</w:t>
      </w:r>
      <w:r>
        <w:rPr>
          <w:rFonts w:hint="eastAsia" w:ascii="Times New Roman" w:hAnsi="Times New Roman" w:cs="Times New Roman"/>
          <w:sz w:val="24"/>
          <w:szCs w:val="24"/>
        </w:rPr>
        <w:t>11</w:t>
      </w:r>
      <w:r>
        <w:rPr>
          <w:rFonts w:ascii="Times New Roman" w:hAnsi="Times New Roman" w:cs="Times New Roman"/>
          <w:sz w:val="24"/>
          <w:szCs w:val="24"/>
        </w:rPr>
        <w:t>月</w:t>
      </w:r>
      <w:r>
        <w:rPr>
          <w:rFonts w:hint="eastAsia" w:ascii="Times New Roman" w:hAnsi="Times New Roman" w:cs="Times New Roman"/>
          <w:sz w:val="24"/>
          <w:szCs w:val="24"/>
        </w:rPr>
        <w:t>2</w:t>
      </w:r>
      <w:r>
        <w:rPr>
          <w:rFonts w:ascii="Times New Roman" w:hAnsi="Times New Roman" w:cs="Times New Roman"/>
          <w:sz w:val="24"/>
          <w:szCs w:val="24"/>
        </w:rPr>
        <w:t>日17时止（工作时间）。</w:t>
      </w:r>
    </w:p>
    <w:p>
      <w:pPr>
        <w:adjustRightInd w:val="0"/>
        <w:snapToGrid w:val="0"/>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（二）领取方式：</w:t>
      </w:r>
      <w:r>
        <w:rPr>
          <w:rFonts w:hint="eastAsia" w:ascii="Times New Roman" w:hAnsi="Times New Roman" w:cs="Times New Roman"/>
          <w:sz w:val="24"/>
          <w:szCs w:val="24"/>
        </w:rPr>
        <w:t>采购代理公司按磋商小组征集并确定好的供应商发送电子邮件通知其合格，并邀请其前往采购代理公司领取纸质采购文件。本采购文件300元/套。</w:t>
      </w:r>
    </w:p>
    <w:p>
      <w:pPr>
        <w:adjustRightInd w:val="0"/>
        <w:snapToGrid w:val="0"/>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八</w:t>
      </w:r>
      <w:r>
        <w:rPr>
          <w:rFonts w:ascii="Times New Roman" w:hAnsi="Times New Roman" w:cs="Times New Roman"/>
          <w:sz w:val="24"/>
          <w:szCs w:val="24"/>
        </w:rPr>
        <w:t>、递交响应文件截止时间</w:t>
      </w:r>
      <w:r>
        <w:rPr>
          <w:rFonts w:hint="eastAsia" w:ascii="Times New Roman" w:hAnsi="Times New Roman" w:cs="Times New Roman"/>
          <w:sz w:val="24"/>
          <w:szCs w:val="24"/>
        </w:rPr>
        <w:t>、</w:t>
      </w:r>
      <w:r>
        <w:rPr>
          <w:rFonts w:ascii="Times New Roman" w:hAnsi="Times New Roman" w:cs="Times New Roman"/>
          <w:sz w:val="24"/>
          <w:szCs w:val="24"/>
        </w:rPr>
        <w:t>磋商时间</w:t>
      </w:r>
      <w:r>
        <w:rPr>
          <w:rFonts w:hint="eastAsia" w:ascii="Times New Roman" w:hAnsi="Times New Roman" w:cs="Times New Roman"/>
          <w:sz w:val="24"/>
          <w:szCs w:val="24"/>
        </w:rPr>
        <w:t>和磋商地点</w:t>
      </w:r>
    </w:p>
    <w:p>
      <w:pPr>
        <w:adjustRightInd w:val="0"/>
        <w:snapToGrid w:val="0"/>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递交响应文件截止时间：</w:t>
      </w:r>
      <w:r>
        <w:rPr>
          <w:rFonts w:hint="eastAsia" w:ascii="Times New Roman" w:hAnsi="Times New Roman" w:cs="Times New Roman"/>
          <w:sz w:val="24"/>
          <w:szCs w:val="24"/>
        </w:rPr>
        <w:t>2020年11</w:t>
      </w:r>
      <w:r>
        <w:rPr>
          <w:rFonts w:ascii="Times New Roman" w:hAnsi="Times New Roman" w:cs="Times New Roman"/>
          <w:sz w:val="24"/>
          <w:szCs w:val="24"/>
        </w:rPr>
        <w:t>月</w:t>
      </w:r>
      <w:r>
        <w:rPr>
          <w:rFonts w:hint="eastAsia" w:ascii="Times New Roman" w:hAnsi="Times New Roman" w:cs="Times New Roman"/>
          <w:sz w:val="24"/>
          <w:szCs w:val="24"/>
        </w:rPr>
        <w:t>10</w:t>
      </w:r>
      <w:r>
        <w:rPr>
          <w:rFonts w:ascii="Times New Roman" w:hAnsi="Times New Roman" w:cs="Times New Roman"/>
          <w:sz w:val="24"/>
          <w:szCs w:val="24"/>
        </w:rPr>
        <w:t>日</w:t>
      </w:r>
      <w:r>
        <w:rPr>
          <w:rFonts w:hint="eastAsia" w:ascii="Times New Roman" w:hAnsi="Times New Roman" w:cs="Times New Roman"/>
          <w:sz w:val="24"/>
          <w:szCs w:val="24"/>
        </w:rPr>
        <w:t>15</w:t>
      </w:r>
      <w:r>
        <w:rPr>
          <w:rFonts w:ascii="Times New Roman" w:hAnsi="Times New Roman" w:cs="Times New Roman"/>
          <w:sz w:val="24"/>
          <w:szCs w:val="24"/>
        </w:rPr>
        <w:t>时</w:t>
      </w:r>
      <w:r>
        <w:rPr>
          <w:rFonts w:hint="eastAsia" w:ascii="Times New Roman" w:hAnsi="Times New Roman" w:cs="Times New Roman"/>
          <w:sz w:val="24"/>
          <w:szCs w:val="24"/>
        </w:rPr>
        <w:t>00分</w:t>
      </w:r>
      <w:r>
        <w:rPr>
          <w:rFonts w:ascii="Times New Roman" w:hAnsi="Times New Roman" w:cs="Times New Roman"/>
          <w:sz w:val="24"/>
          <w:szCs w:val="24"/>
        </w:rPr>
        <w:t>（</w:t>
      </w:r>
      <w:r>
        <w:rPr>
          <w:rFonts w:hint="eastAsia" w:ascii="Times New Roman" w:hAnsi="Times New Roman" w:cs="Times New Roman"/>
          <w:sz w:val="24"/>
          <w:szCs w:val="24"/>
        </w:rPr>
        <w:t>提前半小时</w:t>
      </w:r>
      <w:r>
        <w:rPr>
          <w:rFonts w:ascii="Times New Roman" w:hAnsi="Times New Roman" w:cs="Times New Roman"/>
          <w:sz w:val="24"/>
          <w:szCs w:val="24"/>
        </w:rPr>
        <w:t>开始接受响应文件）。递交响应文件截止时间即为磋商时间，逾期送达的响应文件概不接受。</w:t>
      </w:r>
    </w:p>
    <w:p>
      <w:pPr>
        <w:adjustRightInd w:val="0"/>
        <w:snapToGrid w:val="0"/>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磋商</w:t>
      </w:r>
      <w:r>
        <w:rPr>
          <w:rFonts w:ascii="Times New Roman" w:hAnsi="Times New Roman" w:cs="Times New Roman"/>
          <w:sz w:val="24"/>
          <w:szCs w:val="24"/>
        </w:rPr>
        <w:t>响应文件送达地点：</w:t>
      </w:r>
      <w:r>
        <w:rPr>
          <w:rFonts w:hint="eastAsia" w:ascii="Times New Roman" w:hAnsi="Times New Roman" w:cs="Times New Roman"/>
          <w:sz w:val="24"/>
          <w:szCs w:val="24"/>
        </w:rPr>
        <w:t>阳新县公共资源交易中心一楼开标大厅（阳新大道熊家垴安置小区东侧）</w:t>
      </w:r>
    </w:p>
    <w:p>
      <w:pPr>
        <w:adjustRightInd w:val="0"/>
        <w:snapToGrid w:val="0"/>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九</w:t>
      </w:r>
      <w:r>
        <w:rPr>
          <w:rFonts w:ascii="Times New Roman" w:hAnsi="Times New Roman" w:cs="Times New Roman"/>
          <w:sz w:val="24"/>
          <w:szCs w:val="24"/>
        </w:rPr>
        <w:t>、</w:t>
      </w:r>
      <w:r>
        <w:rPr>
          <w:rFonts w:hint="eastAsia" w:ascii="Times New Roman" w:hAnsi="Times New Roman" w:cs="Times New Roman"/>
          <w:sz w:val="24"/>
          <w:szCs w:val="24"/>
        </w:rPr>
        <w:t>届时请参加磋商的授权代表携带有效身份证、法人身份证明书或法人授权委托书出席磋商会并参加磋商，否则磋商小组将拒绝供应商参加磋商。</w:t>
      </w:r>
    </w:p>
    <w:p>
      <w:pPr>
        <w:adjustRightInd w:val="0"/>
        <w:snapToGrid w:val="0"/>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十</w:t>
      </w:r>
      <w:r>
        <w:rPr>
          <w:rFonts w:ascii="Times New Roman" w:hAnsi="Times New Roman" w:cs="Times New Roman"/>
          <w:sz w:val="24"/>
          <w:szCs w:val="24"/>
        </w:rPr>
        <w:t>、询问和质疑</w:t>
      </w:r>
    </w:p>
    <w:p>
      <w:pPr>
        <w:adjustRightInd w:val="0"/>
        <w:snapToGrid w:val="0"/>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相关供应商对磋商文件、磋商过程和成交结果有异议的，可在知道或者应知其权益受到损害之日起7个工作日内，向</w:t>
      </w:r>
      <w:r>
        <w:rPr>
          <w:rFonts w:hint="eastAsia" w:ascii="Times New Roman" w:hAnsi="Times New Roman" w:cs="Times New Roman"/>
          <w:sz w:val="24"/>
          <w:szCs w:val="24"/>
        </w:rPr>
        <w:t>采购人、采购代理公司</w:t>
      </w:r>
      <w:r>
        <w:rPr>
          <w:rFonts w:ascii="Times New Roman" w:hAnsi="Times New Roman" w:cs="Times New Roman"/>
          <w:sz w:val="24"/>
          <w:szCs w:val="24"/>
        </w:rPr>
        <w:t>提出询问和质疑。质疑时请提交书面质疑函一份（法人或负责人）代表签字、加盖单位公章，并附相关证据材料。</w:t>
      </w:r>
    </w:p>
    <w:p>
      <w:pPr>
        <w:adjustRightInd w:val="0"/>
        <w:snapToGrid w:val="0"/>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十</w:t>
      </w:r>
      <w:r>
        <w:rPr>
          <w:rFonts w:hint="eastAsia" w:ascii="Times New Roman" w:hAnsi="Times New Roman" w:cs="Times New Roman"/>
          <w:sz w:val="24"/>
          <w:szCs w:val="24"/>
        </w:rPr>
        <w:t>一</w:t>
      </w:r>
      <w:r>
        <w:rPr>
          <w:rFonts w:ascii="Times New Roman" w:hAnsi="Times New Roman" w:cs="Times New Roman"/>
          <w:sz w:val="24"/>
          <w:szCs w:val="24"/>
        </w:rPr>
        <w:t>、公告期限：自磋商公告发布之日起3个工作日。</w:t>
      </w:r>
    </w:p>
    <w:p>
      <w:pPr>
        <w:adjustRightInd w:val="0"/>
        <w:snapToGrid w:val="0"/>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十二、联系方式</w:t>
      </w:r>
    </w:p>
    <w:p>
      <w:pPr>
        <w:adjustRightInd w:val="0"/>
        <w:snapToGrid w:val="0"/>
        <w:spacing w:line="400" w:lineRule="exact"/>
        <w:ind w:firstLine="480" w:firstLineChars="200"/>
        <w:rPr>
          <w:sz w:val="24"/>
          <w:szCs w:val="24"/>
        </w:rPr>
      </w:pPr>
      <w:r>
        <w:rPr>
          <w:rFonts w:hint="eastAsia"/>
          <w:sz w:val="24"/>
          <w:szCs w:val="24"/>
        </w:rPr>
        <w:t>采 购 人：</w:t>
      </w:r>
      <w:r>
        <w:rPr>
          <w:rFonts w:hint="eastAsia"/>
          <w:bCs/>
          <w:color w:val="000000"/>
          <w:sz w:val="24"/>
        </w:rPr>
        <w:t>阳新县自然资源和规划局</w:t>
      </w:r>
    </w:p>
    <w:p>
      <w:pPr>
        <w:adjustRightInd w:val="0"/>
        <w:snapToGrid w:val="0"/>
        <w:spacing w:line="400" w:lineRule="exact"/>
        <w:ind w:firstLine="480" w:firstLineChars="200"/>
        <w:rPr>
          <w:sz w:val="24"/>
          <w:szCs w:val="24"/>
        </w:rPr>
      </w:pPr>
      <w:r>
        <w:rPr>
          <w:rFonts w:hint="eastAsia"/>
          <w:sz w:val="24"/>
          <w:szCs w:val="24"/>
        </w:rPr>
        <w:t>联 系 人：</w:t>
      </w:r>
      <w:r>
        <w:rPr>
          <w:rFonts w:hint="eastAsia"/>
          <w:color w:val="000000"/>
          <w:sz w:val="24"/>
        </w:rPr>
        <w:t>滑紫纾</w:t>
      </w:r>
    </w:p>
    <w:p>
      <w:pPr>
        <w:adjustRightInd w:val="0"/>
        <w:snapToGrid w:val="0"/>
        <w:spacing w:line="400" w:lineRule="exact"/>
        <w:ind w:firstLine="480" w:firstLineChars="200"/>
        <w:rPr>
          <w:sz w:val="24"/>
          <w:szCs w:val="24"/>
        </w:rPr>
      </w:pPr>
      <w:r>
        <w:rPr>
          <w:rFonts w:hint="eastAsia"/>
          <w:sz w:val="24"/>
          <w:szCs w:val="24"/>
        </w:rPr>
        <w:t>联系电话：</w:t>
      </w:r>
      <w:r>
        <w:rPr>
          <w:rFonts w:hint="eastAsia"/>
          <w:color w:val="000000"/>
          <w:sz w:val="24"/>
        </w:rPr>
        <w:t>18672217007</w:t>
      </w:r>
    </w:p>
    <w:p>
      <w:pPr>
        <w:widowControl/>
        <w:spacing w:line="400" w:lineRule="exact"/>
        <w:ind w:firstLine="480" w:firstLineChars="200"/>
        <w:jc w:val="left"/>
        <w:rPr>
          <w:color w:val="000000"/>
          <w:sz w:val="24"/>
        </w:rPr>
      </w:pPr>
      <w:r>
        <w:rPr>
          <w:rFonts w:hint="eastAsia"/>
          <w:sz w:val="24"/>
          <w:szCs w:val="24"/>
        </w:rPr>
        <w:t>地    址：</w:t>
      </w:r>
      <w:r>
        <w:rPr>
          <w:rFonts w:hint="eastAsia"/>
          <w:color w:val="000000"/>
          <w:sz w:val="24"/>
        </w:rPr>
        <w:t>阳新县阳新大道</w:t>
      </w:r>
    </w:p>
    <w:p>
      <w:pPr>
        <w:pStyle w:val="2"/>
        <w:spacing w:line="400" w:lineRule="exact"/>
      </w:pPr>
    </w:p>
    <w:p>
      <w:pPr>
        <w:widowControl/>
        <w:spacing w:line="40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采购代理机构：中新创达咨询有限公司</w:t>
      </w:r>
    </w:p>
    <w:p>
      <w:pPr>
        <w:widowControl/>
        <w:spacing w:line="40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联 系 人：袁行军</w:t>
      </w:r>
    </w:p>
    <w:p>
      <w:pPr>
        <w:widowControl/>
        <w:spacing w:line="40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联系电话：17807138978</w:t>
      </w:r>
    </w:p>
    <w:p>
      <w:pPr>
        <w:widowControl/>
        <w:spacing w:line="400" w:lineRule="exact"/>
        <w:ind w:firstLine="480" w:firstLineChars="200"/>
        <w:jc w:val="left"/>
        <w:rPr>
          <w:rFonts w:ascii="宋体" w:hAnsi="宋体" w:cs="宋体"/>
          <w:bCs/>
          <w:color w:val="000000"/>
          <w:kern w:val="0"/>
          <w:sz w:val="24"/>
        </w:rPr>
      </w:pPr>
      <w:r>
        <w:rPr>
          <w:rFonts w:ascii="宋体" w:hAnsi="宋体" w:cs="宋体"/>
          <w:bCs/>
          <w:color w:val="000000"/>
          <w:kern w:val="0"/>
          <w:sz w:val="24"/>
        </w:rPr>
        <w:t>电子邮箱：</w:t>
      </w:r>
      <w:r>
        <w:rPr>
          <w:rFonts w:hint="eastAsia" w:ascii="宋体" w:hAnsi="宋体" w:cs="宋体"/>
          <w:bCs/>
          <w:color w:val="000000"/>
          <w:kern w:val="0"/>
          <w:sz w:val="24"/>
        </w:rPr>
        <w:t>530193203@qq.com</w:t>
      </w:r>
    </w:p>
    <w:p>
      <w:pPr>
        <w:widowControl/>
        <w:spacing w:line="40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地    址：阳新县熊家垴小区8栋二单元</w:t>
      </w:r>
    </w:p>
    <w:p>
      <w:pPr>
        <w:pStyle w:val="33"/>
        <w:spacing w:before="0" w:beforeAutospacing="0" w:after="0" w:afterAutospacing="0" w:line="380" w:lineRule="exact"/>
        <w:ind w:firstLine="482" w:firstLineChars="200"/>
        <w:rPr>
          <w:b/>
          <w:color w:val="000000"/>
        </w:rPr>
      </w:pPr>
    </w:p>
    <w:p>
      <w:pPr>
        <w:pStyle w:val="33"/>
        <w:spacing w:before="0" w:beforeAutospacing="0" w:after="0" w:afterAutospacing="0" w:line="380" w:lineRule="exact"/>
        <w:ind w:firstLine="482" w:firstLineChars="200"/>
        <w:rPr>
          <w:b/>
          <w:color w:val="000000"/>
        </w:rPr>
      </w:pPr>
    </w:p>
    <w:p>
      <w:pPr>
        <w:pStyle w:val="9"/>
        <w:widowControl/>
        <w:spacing w:beforeAutospacing="0" w:afterAutospacing="0" w:line="360" w:lineRule="atLeast"/>
        <w:ind w:firstLine="480"/>
        <w:jc w:val="right"/>
        <w:rPr>
          <w:rFonts w:ascii="宋体" w:hAnsi="宋体" w:eastAsia="宋体" w:cs="宋体"/>
          <w:color w:val="000000"/>
        </w:rPr>
      </w:pPr>
      <w:r>
        <w:rPr>
          <w:rFonts w:hint="eastAsia" w:ascii="宋体" w:hAnsi="宋体" w:eastAsia="宋体" w:cs="宋体"/>
          <w:color w:val="000000"/>
        </w:rPr>
        <w:t>2020年10月</w:t>
      </w:r>
    </w:p>
    <w:p>
      <w:pPr>
        <w:widowControl/>
        <w:adjustRightInd w:val="0"/>
        <w:snapToGrid w:val="0"/>
        <w:spacing w:line="360" w:lineRule="auto"/>
        <w:jc w:val="center"/>
        <w:rPr>
          <w:rFonts w:ascii="Times New Roman" w:hAnsi="Times New Roman" w:cs="Times New Roman"/>
          <w:b/>
          <w:bCs/>
          <w:sz w:val="36"/>
          <w:szCs w:val="36"/>
        </w:rPr>
      </w:pPr>
      <w:r>
        <w:rPr>
          <w:rFonts w:ascii="Times New Roman" w:hAnsi="Times New Roman" w:cs="Times New Roman"/>
          <w:sz w:val="24"/>
          <w:szCs w:val="24"/>
          <w:lang w:bidi="ar-EG"/>
        </w:rPr>
        <w:br w:type="page"/>
      </w:r>
      <w:r>
        <w:rPr>
          <w:rFonts w:ascii="Times New Roman" w:hAnsi="Times New Roman" w:cs="Times New Roman"/>
          <w:b/>
          <w:sz w:val="36"/>
          <w:szCs w:val="36"/>
          <w:lang w:val="hr-HR" w:bidi="ar-EG"/>
        </w:rPr>
        <w:t xml:space="preserve">第二章 </w:t>
      </w:r>
      <w:r>
        <w:rPr>
          <w:rFonts w:ascii="Times New Roman" w:hAnsi="Times New Roman" w:cs="Times New Roman"/>
          <w:b/>
          <w:bCs/>
          <w:sz w:val="36"/>
          <w:szCs w:val="36"/>
        </w:rPr>
        <w:t>磋商须知</w:t>
      </w:r>
    </w:p>
    <w:p>
      <w:pPr>
        <w:spacing w:line="360" w:lineRule="auto"/>
        <w:jc w:val="center"/>
        <w:rPr>
          <w:rFonts w:ascii="Times New Roman" w:hAnsi="Times New Roman" w:cs="Times New Roman"/>
          <w:szCs w:val="28"/>
        </w:rPr>
      </w:pP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10"/>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项    目</w:t>
            </w:r>
          </w:p>
        </w:tc>
        <w:tc>
          <w:tcPr>
            <w:tcW w:w="5013" w:type="dxa"/>
            <w:tcBorders>
              <w:top w:val="single" w:color="auto" w:sz="4" w:space="0"/>
              <w:left w:val="single" w:color="auto" w:sz="4" w:space="0"/>
              <w:bottom w:val="single" w:color="auto" w:sz="4" w:space="0"/>
            </w:tcBorders>
            <w:vAlign w:val="center"/>
          </w:tcPr>
          <w:p>
            <w:pPr>
              <w:spacing w:line="360" w:lineRule="auto"/>
              <w:ind w:left="57" w:right="57" w:firstLine="482" w:firstLineChars="201"/>
              <w:jc w:val="center"/>
              <w:rPr>
                <w:rFonts w:ascii="Times New Roman" w:hAnsi="Times New Roman" w:cs="Times New Roman"/>
                <w:sz w:val="24"/>
              </w:rPr>
            </w:pPr>
            <w:r>
              <w:rPr>
                <w:rFonts w:ascii="Times New Roman" w:hAnsi="Times New Roman" w:cs="Times New Roman"/>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color w:val="FF0000"/>
                <w:sz w:val="24"/>
              </w:rPr>
            </w:pPr>
            <w:r>
              <w:rPr>
                <w:rFonts w:hint="eastAsia" w:ascii="宋体" w:hAnsi="宋体"/>
                <w:bCs/>
                <w:color w:val="000000"/>
                <w:sz w:val="24"/>
              </w:rPr>
              <w:t>阳新县南市村生态产品价值实现路径试点编制项目</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&lt;MK&gt;pro.projectname &lt;/MK&gt;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color w:val="FF0000"/>
                <w:sz w:val="24"/>
              </w:rPr>
            </w:pPr>
            <w:r>
              <w:rPr>
                <w:rFonts w:hint="eastAsia" w:ascii="宋体" w:hAnsi="宋体"/>
                <w:sz w:val="24"/>
                <w:szCs w:val="21"/>
              </w:rPr>
              <w:t xml:space="preserve">131-2020CG-202 </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&lt;MK&gt;pro.schemecode&lt;/MK&gt;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013" w:type="dxa"/>
            <w:tcBorders>
              <w:top w:val="single" w:color="auto" w:sz="4" w:space="0"/>
              <w:left w:val="single" w:color="auto" w:sz="4" w:space="0"/>
              <w:bottom w:val="single" w:color="auto" w:sz="4" w:space="0"/>
            </w:tcBorders>
            <w:vAlign w:val="center"/>
          </w:tcPr>
          <w:p>
            <w:pPr>
              <w:spacing w:line="360" w:lineRule="auto"/>
              <w:rPr>
                <w:bCs/>
                <w:color w:val="000000"/>
                <w:sz w:val="24"/>
              </w:rPr>
            </w:pPr>
            <w:r>
              <w:rPr>
                <w:rFonts w:ascii="Times New Roman" w:hAnsi="Times New Roman" w:cs="Times New Roman"/>
                <w:kern w:val="0"/>
                <w:sz w:val="24"/>
              </w:rPr>
              <w:fldChar w:fldCharType="begin"/>
            </w:r>
            <w:r>
              <w:rPr>
                <w:rFonts w:ascii="Times New Roman" w:hAnsi="Times New Roman" w:cs="Times New Roman"/>
                <w:kern w:val="0"/>
                <w:sz w:val="24"/>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ascii="Times New Roman" w:hAnsi="Times New Roman" w:cs="Times New Roman"/>
                <w:kern w:val="0"/>
                <w:sz w:val="24"/>
              </w:rPr>
              <w:fldChar w:fldCharType="separate"/>
            </w:r>
            <w:r>
              <w:rPr>
                <w:rFonts w:ascii="Times New Roman" w:hAnsi="Times New Roman" w:cs="Times New Roman"/>
                <w:kern w:val="0"/>
                <w:sz w:val="24"/>
              </w:rPr>
              <w:t>!异常的公式结尾</w:t>
            </w:r>
            <w:r>
              <w:rPr>
                <w:rFonts w:ascii="Times New Roman" w:hAnsi="Times New Roman" w:cs="Times New Roman"/>
                <w:kern w:val="0"/>
                <w:sz w:val="24"/>
              </w:rPr>
              <w:fldChar w:fldCharType="end"/>
            </w:r>
            <w:r>
              <w:rPr>
                <w:rFonts w:ascii="Times New Roman" w:hAnsi="Times New Roman" w:cs="Times New Roman"/>
                <w:kern w:val="0"/>
                <w:sz w:val="24"/>
              </w:rPr>
              <w:t>名称：</w:t>
            </w:r>
            <w:r>
              <w:rPr>
                <w:rFonts w:hint="eastAsia"/>
                <w:bCs/>
                <w:color w:val="000000"/>
                <w:sz w:val="24"/>
              </w:rPr>
              <w:t>阳新县自然资源和规划局</w:t>
            </w:r>
          </w:p>
          <w:p>
            <w:pPr>
              <w:spacing w:line="360" w:lineRule="auto"/>
              <w:rPr>
                <w:rFonts w:ascii="Times New Roman" w:hAnsi="Times New Roman" w:cs="Times New Roman"/>
                <w:kern w:val="0"/>
                <w:sz w:val="24"/>
              </w:rPr>
            </w:pPr>
            <w:r>
              <w:rPr>
                <w:rFonts w:ascii="Times New Roman" w:hAnsi="Times New Roman" w:cs="Times New Roman"/>
                <w:kern w:val="0"/>
                <w:sz w:val="24"/>
              </w:rPr>
              <w:t>地址：</w:t>
            </w:r>
            <w:r>
              <w:rPr>
                <w:rFonts w:hint="eastAsia"/>
                <w:color w:val="000000"/>
                <w:sz w:val="24"/>
              </w:rPr>
              <w:t>阳新县阳新大道</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&lt;MK&gt;buyers.unitaddr &lt;/MK&gt;</w:instrText>
            </w:r>
            <w:r>
              <w:rPr>
                <w:rFonts w:ascii="Times New Roman" w:hAnsi="Times New Roman" w:cs="Times New Roman"/>
                <w:kern w:val="0"/>
                <w:sz w:val="24"/>
              </w:rPr>
              <w:fldChar w:fldCharType="end"/>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&lt;MK&gt;buyers.contactinfo&lt;/MK&gt;</w:instrText>
            </w:r>
            <w:r>
              <w:rPr>
                <w:rFonts w:ascii="Times New Roman" w:hAnsi="Times New Roman" w:cs="Times New Roman"/>
                <w:kern w:val="0"/>
                <w:sz w:val="24"/>
              </w:rPr>
              <w:fldChar w:fldCharType="end"/>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&lt;MK&gt;buyers.organname&lt;/MK&gt;</w:instrText>
            </w:r>
            <w:r>
              <w:rPr>
                <w:rFonts w:ascii="Times New Roman" w:hAnsi="Times New Roman" w:cs="Times New Roman"/>
                <w:kern w:val="0"/>
                <w:sz w:val="24"/>
              </w:rPr>
              <w:fldChar w:fldCharType="end"/>
            </w:r>
          </w:p>
          <w:p>
            <w:pPr>
              <w:spacing w:line="360" w:lineRule="auto"/>
              <w:rPr>
                <w:rFonts w:ascii="Times New Roman" w:hAnsi="Times New Roman" w:cs="Times New Roman"/>
                <w:kern w:val="0"/>
                <w:sz w:val="24"/>
              </w:rPr>
            </w:pPr>
            <w:r>
              <w:rPr>
                <w:rFonts w:ascii="Times New Roman" w:hAnsi="Times New Roman" w:cs="Times New Roman"/>
                <w:kern w:val="0"/>
                <w:sz w:val="24"/>
              </w:rPr>
              <w:t>联系人：</w:t>
            </w:r>
            <w:r>
              <w:rPr>
                <w:rFonts w:hint="eastAsia"/>
                <w:color w:val="000000"/>
                <w:sz w:val="24"/>
              </w:rPr>
              <w:t>滑紫纾</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&lt;MK&gt;buyers.ownerlinkman &lt;/MK&gt;</w:instrText>
            </w:r>
            <w:r>
              <w:rPr>
                <w:rFonts w:ascii="Times New Roman" w:hAnsi="Times New Roman" w:cs="Times New Roman"/>
                <w:kern w:val="0"/>
                <w:sz w:val="24"/>
              </w:rPr>
              <w:fldChar w:fldCharType="end"/>
            </w:r>
          </w:p>
          <w:p>
            <w:pPr>
              <w:spacing w:line="360" w:lineRule="auto"/>
              <w:rPr>
                <w:rFonts w:ascii="Times New Roman" w:hAnsi="Times New Roman" w:cs="Times New Roman"/>
              </w:rPr>
            </w:pPr>
            <w:r>
              <w:rPr>
                <w:rFonts w:ascii="Times New Roman" w:hAnsi="Times New Roman" w:cs="Times New Roman"/>
                <w:kern w:val="0"/>
                <w:sz w:val="24"/>
              </w:rPr>
              <w:t>联系方式：</w:t>
            </w:r>
            <w:r>
              <w:rPr>
                <w:rFonts w:hint="eastAsia"/>
                <w:color w:val="000000"/>
                <w:sz w:val="24"/>
              </w:rPr>
              <w:t>18672217007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FF0000"/>
                <w:sz w:val="24"/>
              </w:rPr>
            </w:pPr>
            <w:r>
              <w:rPr>
                <w:rFonts w:ascii="Times New Roman" w:hAnsi="Times New Roman" w:cs="Times New Roman"/>
                <w:color w:val="FF0000"/>
                <w:sz w:val="24"/>
              </w:rPr>
              <w:t>采购</w:t>
            </w:r>
            <w:r>
              <w:rPr>
                <w:rFonts w:hint="eastAsia" w:ascii="Times New Roman" w:hAnsi="Times New Roman" w:cs="Times New Roman"/>
                <w:color w:val="FF0000"/>
                <w:sz w:val="24"/>
              </w:rPr>
              <w:t>代理机构</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kern w:val="0"/>
                <w:sz w:val="24"/>
              </w:rPr>
            </w:pPr>
            <w:r>
              <w:rPr>
                <w:rFonts w:ascii="Times New Roman" w:hAnsi="Times New Roman" w:cs="Times New Roman"/>
                <w:kern w:val="0"/>
                <w:sz w:val="24"/>
              </w:rPr>
              <w:t>名称：</w:t>
            </w:r>
            <w:r>
              <w:rPr>
                <w:rFonts w:hint="eastAsia"/>
                <w:sz w:val="24"/>
              </w:rPr>
              <w:t>中新创达咨询有限公司</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 org.organname&lt;/MK&gt;</w:instrText>
            </w:r>
            <w:r>
              <w:rPr>
                <w:rFonts w:ascii="Times New Roman" w:hAnsi="Times New Roman" w:cs="Times New Roman"/>
                <w:kern w:val="0"/>
                <w:sz w:val="24"/>
              </w:rPr>
              <w:fldChar w:fldCharType="end"/>
            </w:r>
          </w:p>
          <w:p>
            <w:pPr>
              <w:spacing w:line="360" w:lineRule="auto"/>
              <w:jc w:val="left"/>
              <w:rPr>
                <w:rFonts w:ascii="宋体" w:hAnsi="宋体" w:cs="宋体"/>
                <w:b/>
                <w:sz w:val="24"/>
                <w:szCs w:val="24"/>
              </w:rPr>
            </w:pPr>
            <w:r>
              <w:rPr>
                <w:rFonts w:ascii="Times New Roman" w:hAnsi="Times New Roman" w:cs="Times New Roman"/>
                <w:kern w:val="0"/>
                <w:sz w:val="24"/>
              </w:rPr>
              <w:t>地址：</w:t>
            </w:r>
            <w:r>
              <w:rPr>
                <w:rFonts w:hint="eastAsia" w:ascii="宋体" w:hAnsi="宋体" w:cs="宋体"/>
                <w:sz w:val="24"/>
                <w:szCs w:val="24"/>
              </w:rPr>
              <w:t>阳新县熊家垴小区8栋二单元</w:t>
            </w:r>
          </w:p>
          <w:p>
            <w:pPr>
              <w:spacing w:line="360" w:lineRule="auto"/>
              <w:jc w:val="left"/>
              <w:rPr>
                <w:rFonts w:ascii="Times New Roman" w:hAnsi="Times New Roman" w:cs="Times New Roman"/>
                <w:kern w:val="0"/>
                <w:sz w:val="24"/>
              </w:rPr>
            </w:pPr>
            <w:r>
              <w:rPr>
                <w:rFonts w:ascii="Times New Roman" w:hAnsi="Times New Roman" w:cs="Times New Roman"/>
                <w:kern w:val="0"/>
                <w:sz w:val="24"/>
              </w:rPr>
              <w:t>联系人：</w:t>
            </w:r>
            <w:r>
              <w:rPr>
                <w:rFonts w:hint="eastAsia" w:ascii="宋体" w:hAnsi="宋体" w:cs="宋体"/>
                <w:color w:val="000000"/>
                <w:sz w:val="24"/>
              </w:rPr>
              <w:t>袁行军</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&lt;MK&gt;pro.username&lt;/MK&gt;</w:instrText>
            </w:r>
            <w:r>
              <w:rPr>
                <w:rFonts w:ascii="Times New Roman" w:hAnsi="Times New Roman" w:cs="Times New Roman"/>
                <w:kern w:val="0"/>
                <w:sz w:val="24"/>
              </w:rPr>
              <w:fldChar w:fldCharType="end"/>
            </w:r>
          </w:p>
          <w:p>
            <w:pPr>
              <w:spacing w:line="360" w:lineRule="auto"/>
              <w:ind w:right="-105" w:rightChars="-50"/>
              <w:jc w:val="left"/>
              <w:rPr>
                <w:rFonts w:ascii="Times New Roman" w:hAnsi="Times New Roman" w:cs="Times New Roman"/>
                <w:kern w:val="0"/>
                <w:sz w:val="24"/>
              </w:rPr>
            </w:pPr>
            <w:r>
              <w:rPr>
                <w:rFonts w:ascii="Times New Roman" w:hAnsi="Times New Roman" w:cs="Times New Roman"/>
                <w:kern w:val="0"/>
                <w:sz w:val="24"/>
              </w:rPr>
              <w:t>联系电话：</w:t>
            </w:r>
            <w:r>
              <w:rPr>
                <w:rFonts w:hint="eastAsia" w:ascii="宋体" w:hAnsi="宋体" w:cs="宋体"/>
                <w:color w:val="000000"/>
                <w:sz w:val="24"/>
              </w:rPr>
              <w:t>17807138978</w:t>
            </w:r>
          </w:p>
          <w:p>
            <w:pPr>
              <w:spacing w:line="360" w:lineRule="auto"/>
              <w:ind w:right="-105" w:rightChars="-50"/>
              <w:jc w:val="left"/>
              <w:rPr>
                <w:rFonts w:ascii="Times New Roman" w:hAnsi="Times New Roman" w:cs="Times New Roman"/>
                <w:sz w:val="24"/>
              </w:rPr>
            </w:pPr>
            <w:r>
              <w:rPr>
                <w:rFonts w:ascii="Times New Roman" w:hAnsi="Times New Roman" w:cs="Times New Roman"/>
                <w:kern w:val="0"/>
                <w:sz w:val="24"/>
              </w:rPr>
              <w:t>电子邮箱：</w:t>
            </w:r>
            <w:r>
              <w:rPr>
                <w:rFonts w:hint="eastAsia"/>
                <w:sz w:val="24"/>
                <w:szCs w:val="24"/>
              </w:rPr>
              <w:t>530193203@qq.com</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&lt;MK&gt;pro.mobile&lt;/MK&gt;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ascii="Times New Roman" w:hAnsi="Times New Roman" w:cs="Times New Roman"/>
                <w:color w:val="000000"/>
                <w:sz w:val="24"/>
              </w:rPr>
              <w:t>是否专门面向中小企业、</w:t>
            </w:r>
            <w:r>
              <w:rPr>
                <w:rFonts w:ascii="Times New Roman" w:hAnsi="Times New Roman" w:cs="Times New Roman"/>
                <w:color w:val="000000" w:themeColor="text1"/>
                <w:sz w:val="24"/>
              </w:rPr>
              <w:t>监狱企业、残疾人福利性单位</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kern w:val="0"/>
                <w:sz w:val="24"/>
              </w:rPr>
            </w:pPr>
            <w:r>
              <w:rPr>
                <w:rFonts w:ascii="Times New Roman" w:hAnsi="Times New Roman" w:cs="Times New Roman"/>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000000"/>
                <w:sz w:val="24"/>
              </w:rPr>
            </w:pPr>
            <w:r>
              <w:rPr>
                <w:rFonts w:ascii="Times New Roman" w:hAnsi="Times New Roman" w:cs="Times New Roman"/>
                <w:bCs/>
                <w:color w:val="000000"/>
                <w:sz w:val="24"/>
              </w:rPr>
              <w:t>价格扣除比例</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color w:val="000000"/>
                <w:sz w:val="24"/>
              </w:rPr>
            </w:pPr>
            <w:r>
              <w:rPr>
                <w:rFonts w:ascii="Times New Roman" w:hAnsi="Times New Roman" w:cs="Times New Roman"/>
                <w:color w:val="000000"/>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ascii="Times New Roman" w:hAnsi="Times New Roman" w:cs="Times New Roman"/>
                <w:color w:val="000000"/>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2</w:t>
            </w:r>
            <w:r>
              <w:rPr>
                <w:rFonts w:ascii="Times New Roman" w:hAnsi="Times New Roman" w:cs="Times New Roman"/>
                <w:color w:val="000000"/>
                <w:sz w:val="24"/>
              </w:rPr>
              <w:t>%</w:t>
            </w:r>
          </w:p>
        </w:tc>
      </w:tr>
    </w:tbl>
    <w:p>
      <w:pPr>
        <w:widowControl/>
        <w:spacing w:line="360" w:lineRule="auto"/>
        <w:jc w:val="left"/>
        <w:rPr>
          <w:rFonts w:ascii="Times New Roman" w:hAnsi="Times New Roman" w:eastAsia="仿宋_GB2312" w:cs="Times New Roman"/>
          <w:bCs/>
          <w:color w:val="000000" w:themeColor="text1"/>
          <w:sz w:val="24"/>
        </w:rPr>
      </w:pPr>
    </w:p>
    <w:p>
      <w:pPr>
        <w:widowControl/>
        <w:spacing w:line="360" w:lineRule="auto"/>
        <w:jc w:val="left"/>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br w:type="textWrapping"/>
      </w:r>
      <w:r>
        <w:rPr>
          <w:rFonts w:ascii="Times New Roman" w:hAnsi="Times New Roman" w:eastAsia="黑体" w:cs="Times New Roman"/>
          <w:bCs/>
          <w:sz w:val="24"/>
          <w:szCs w:val="24"/>
        </w:rPr>
        <w:br w:type="page"/>
      </w:r>
      <w:r>
        <w:rPr>
          <w:rFonts w:ascii="Times New Roman" w:hAnsi="Times New Roman" w:eastAsia="黑体" w:cs="Times New Roman"/>
          <w:bCs/>
          <w:sz w:val="24"/>
          <w:szCs w:val="24"/>
        </w:rPr>
        <w:t>一、总　则</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 适用范围</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 定义</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color w:val="000000" w:themeColor="text1"/>
          <w:sz w:val="24"/>
        </w:rPr>
        <w:t>详见《磋商须知前附表》</w:t>
      </w:r>
      <w:r>
        <w:rPr>
          <w:rFonts w:ascii="Times New Roman" w:hAnsi="Times New Roman" w:cs="Times New Roman"/>
          <w:bCs/>
          <w:color w:val="FF0000"/>
          <w:sz w:val="24"/>
          <w:szCs w:val="24"/>
        </w:rPr>
        <w:t>。</w:t>
      </w:r>
    </w:p>
    <w:p>
      <w:pPr>
        <w:adjustRightInd w:val="0"/>
        <w:snapToGrid w:val="0"/>
        <w:spacing w:line="360" w:lineRule="auto"/>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color w:val="FF0000"/>
          <w:sz w:val="24"/>
          <w:szCs w:val="24"/>
        </w:rPr>
        <w:t>阳新县政府采购办公室、阳新县公共资源交易监督管理局。</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bCs/>
          <w:color w:val="000000" w:themeColor="text1"/>
          <w:sz w:val="24"/>
        </w:rPr>
        <w:t>详见《磋商须知前附表》</w:t>
      </w:r>
      <w:r>
        <w:rPr>
          <w:rFonts w:ascii="Times New Roman" w:hAnsi="Times New Roman" w:cs="Times New Roman"/>
          <w:bCs/>
          <w:sz w:val="24"/>
          <w:szCs w:val="24"/>
        </w:rPr>
        <w:t>。</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gov.cn)失信被执行人、重大税收违法案件当事人名单、政府采购严重违法失信行为记录名单的网页</w:t>
      </w:r>
      <w:r>
        <w:rPr>
          <w:rFonts w:hint="eastAsia" w:ascii="Times New Roman" w:hAnsi="Times New Roman" w:cs="Times New Roman"/>
          <w:bCs/>
          <w:sz w:val="24"/>
          <w:szCs w:val="24"/>
        </w:rPr>
        <w:t>截图</w:t>
      </w:r>
      <w:r>
        <w:rPr>
          <w:rFonts w:ascii="Times New Roman" w:hAnsi="Times New Roman" w:cs="Times New Roman"/>
          <w:bCs/>
          <w:sz w:val="24"/>
          <w:szCs w:val="24"/>
        </w:rPr>
        <w:t>打印件。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本文件第一章第</w:t>
      </w:r>
      <w:r>
        <w:rPr>
          <w:rFonts w:hint="eastAsia" w:ascii="Times New Roman" w:hAnsi="Times New Roman" w:cs="Times New Roman"/>
          <w:bCs/>
          <w:sz w:val="24"/>
          <w:szCs w:val="24"/>
        </w:rPr>
        <w:t>四</w:t>
      </w:r>
      <w:r>
        <w:rPr>
          <w:rFonts w:ascii="Times New Roman" w:hAnsi="Times New Roman" w:cs="Times New Roman"/>
          <w:bCs/>
          <w:sz w:val="24"/>
          <w:szCs w:val="24"/>
        </w:rPr>
        <w:t>条除上述以外的条款。</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360" w:lineRule="auto"/>
        <w:ind w:left="420" w:hanging="420"/>
        <w:rPr>
          <w:bCs/>
          <w:color w:val="000000" w:themeColor="text1"/>
          <w:sz w:val="24"/>
        </w:rPr>
      </w:pPr>
      <w:r>
        <w:rPr>
          <w:rFonts w:hint="eastAsia"/>
          <w:bCs/>
          <w:color w:val="000000" w:themeColor="text1"/>
          <w:sz w:val="24"/>
        </w:rPr>
        <w:t>4.1供应商应自行承担所有与编写和提交响应文件有关的费用，不论磋商结果如何，采购人和采购代理机构在任何情况下无义务和责任承担此类费用。</w:t>
      </w:r>
    </w:p>
    <w:p>
      <w:pPr>
        <w:spacing w:line="360" w:lineRule="auto"/>
        <w:rPr>
          <w:sz w:val="24"/>
        </w:rPr>
      </w:pPr>
      <w:r>
        <w:rPr>
          <w:rFonts w:hint="eastAsia"/>
          <w:bCs/>
          <w:color w:val="000000" w:themeColor="text1"/>
          <w:sz w:val="24"/>
        </w:rPr>
        <w:t>4.2</w:t>
      </w:r>
      <w:r>
        <w:rPr>
          <w:rFonts w:hint="eastAsia" w:ascii="宋体" w:hAnsi="宋体"/>
          <w:sz w:val="24"/>
        </w:rPr>
        <w:t>采购代理服务费</w:t>
      </w:r>
    </w:p>
    <w:p>
      <w:pPr>
        <w:pStyle w:val="31"/>
        <w:spacing w:after="240" w:line="360" w:lineRule="auto"/>
        <w:ind w:left="420" w:firstLine="0" w:firstLineChars="0"/>
        <w:rPr>
          <w:rFonts w:ascii="宋体" w:hAnsi="宋体"/>
          <w:b/>
          <w:sz w:val="24"/>
          <w:szCs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740410</wp:posOffset>
                </wp:positionV>
                <wp:extent cx="1657985" cy="1202690"/>
                <wp:effectExtent l="2540" t="3810" r="15875" b="12700"/>
                <wp:wrapNone/>
                <wp:docPr id="1" name="Line 16"/>
                <wp:cNvGraphicFramePr/>
                <a:graphic xmlns:a="http://schemas.openxmlformats.org/drawingml/2006/main">
                  <a:graphicData uri="http://schemas.microsoft.com/office/word/2010/wordprocessingShape">
                    <wps:wsp>
                      <wps:cNvSpPr/>
                      <wps:spPr>
                        <a:xfrm flipH="1" flipV="1">
                          <a:off x="0" y="0"/>
                          <a:ext cx="1657985" cy="12026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5.15pt;margin-top:58.3pt;height:94.7pt;width:130.55pt;z-index:251660288;mso-width-relative:page;mso-height-relative:page;" filled="f" stroked="t" coordsize="21600,21600" o:gfxdata="UEsDBAoAAAAAAIdO4kAAAAAAAAAAAAAAAAAEAAAAZHJzL1BLAwQUAAAACACHTuJAZeBOyNUAAAAL&#10;AQAADwAAAGRycy9kb3ducmV2LnhtbE2PwU7DMBBE70j8g7VI3Fo7rUijEKeHSv2AFlRxdONtHGGv&#10;Q+w25e9ZTnAczWjmTbO9By9uOKUhkoZiqUAgddEO1Gt4f9svKhApG7LGR0IN35hg2z4+NKa2caYD&#10;3o65F1xCqTYaXM5jLWXqHAaTlnFEYu8Sp2Ayy6mXdjIzlwcvV0qVMpiBeMGZEXcOu8/jNWjwlaq+&#10;TrvN/HGwvLI/eUebQuvnp0K9gsh4z39h+MVndGiZ6RyvZJPwGhaFWnOUjaIsQXBi9aL4zFnDWpUK&#10;ZNvI/x/aH1BLAwQUAAAACACHTuJAEoMl4uwBAAD0AwAADgAAAGRycy9lMm9Eb2MueG1srVPLbtsw&#10;ELwX6D8QvNd6AHZjwXIOcdMegjZA2t5pPiQCfIFLW/bfd0m5TptefKgOwpK7nJ0ZLjf3J2vIUUbQ&#10;3vW0WdSUSMe90G7o6Y/vjx/uKIHEnGDGO9nTswR6v33/bjOFTrZ+9EbISBDEQTeFno4pha6qgI/S&#10;Mlj4IB0mlY+WJVzGoRKRTYhuTdXW9aqafBQhei4BcHc3J+kFMd4C6JXSXO48P1jp0owapWEJJcGo&#10;A9BtYauU5OmbUiATMT1Fpan8sQnG+/yvthvWDZGFUfMLBXYLhTeaLNMOm16hdiwxcoj6HyirefTg&#10;VVpwb6tZSHEEVTT1G29eRhZk0YJWQ7iaDv8Pln89PkeiBU4CJY5ZvPAn7SRpVtmaKUCHFS/hOV5W&#10;gGHWeVLREmV0+FJO5uhnjnIOVZFTsfh8tVieEuG42ayWH9d3S0o45pq2blfrcgnVDJmPhwjps/SW&#10;5KCnBukUWHZ8goQ0sPR3SS43jkw9XS/bDMpwIBUOAoY2oChwQzkL3mjxqI3JJyAO+wcTyZHloShf&#10;Fou4f5XlJjsG41xXUvO4jJKJT06QdA5ol8NXQjMFKwUlRuKjyhECsi4xbW6pxNbGIYPs9+xwjvZe&#10;nPFyDiHqYUQnmsIyZ3AYCt/L4OZp+3NdkF4f6/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eBO&#10;yNUAAAALAQAADwAAAAAAAAABACAAAAAiAAAAZHJzL2Rvd25yZXYueG1sUEsBAhQAFAAAAAgAh07i&#10;QBKDJeLsAQAA9AMAAA4AAAAAAAAAAQAgAAAAJAEAAGRycy9lMm9Eb2MueG1sUEsFBgAAAAAGAAYA&#10;WQEAAIIF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740410</wp:posOffset>
                </wp:positionV>
                <wp:extent cx="1657985" cy="539750"/>
                <wp:effectExtent l="1270" t="4445" r="17145" b="8255"/>
                <wp:wrapNone/>
                <wp:docPr id="2" name="Line 17"/>
                <wp:cNvGraphicFramePr/>
                <a:graphic xmlns:a="http://schemas.openxmlformats.org/drawingml/2006/main">
                  <a:graphicData uri="http://schemas.microsoft.com/office/word/2010/wordprocessingShape">
                    <wps:wsp>
                      <wps:cNvSpPr/>
                      <wps:spPr>
                        <a:xfrm flipH="1" flipV="1">
                          <a:off x="0" y="0"/>
                          <a:ext cx="1657985" cy="5397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58.3pt;height:42.5pt;width:130.55pt;z-index:251661312;mso-width-relative:page;mso-height-relative:page;" filled="f" stroked="t" coordsize="21600,21600" o:gfxdata="UEsDBAoAAAAAAIdO4kAAAAAAAAAAAAAAAAAEAAAAZHJzL1BLAwQUAAAACACHTuJAJSn+o9UAAAAL&#10;AQAADwAAAGRycy9kb3ducmV2LnhtbE2PwU7DMBBE70j8g7VI3FrbRaRRiNNDpX5AC6o4uvGSRLXX&#10;aew25e9ZTnDb1Yxm3tSbe/DihlMaIhnQSwUCqY1uoM7Ax/tuUYJI2ZKzPhIa+MYEm+bxobaVizPt&#10;8XbIneAQSpU10Oc8VlKmtsdg0zKOSKx9xSnYzO/USTfZmcODlyulChnsQNzQ2xG3PbbnwzUY8KUq&#10;L8ftev7cO27ZHX1Pa23M85NWbyAy3vOfGX7xGR0aZjrFK7kkvIGFVi9sZUEXBQh2rF4VjznxoXQB&#10;sqnl/w3ND1BLAwQUAAAACACHTuJA2MLk3e0BAADzAwAADgAAAGRycy9lMm9Eb2MueG1srVNNj9Mw&#10;EL0j8R8s32maom63UdM9UBYOK1hpgfvUdhJL/pLHbdp/z9gpBZZLD+QQjT3jN+89jzcPJ2vYUUXU&#10;3rW8ns05U054qV3f8u/fHt/dc4YJnATjnWr5WSF/2L59sxlDoxZ+8EaqyAjEYTOGlg8phaaqUAzK&#10;As58UI6SnY8WEi1jX8kII6FbUy3m87tq9FGG6IVCpN3dlOQXxHgLoO86LdTOi4NVLk2oURlIJAkH&#10;HZBvC9uuUyJ97TpUiZmWk9JU/tSE4n3+V9sNNH2EMGhxoQC3UHilyYJ21PQKtYME7BD1P1BWi+jR&#10;d2kmvK0mIcURUlHPX3nzMkBQRQtZjeFqOv4/WPHl+ByZli1fcObA0oU/aadYvcrWjAEbqngJz/Gy&#10;QgqzzlMXLeuMDp9phniJfuQo50gVOxWLz1eL1SkxQZv13XK1vl9yJii3fL9eLcsdVBNiPh0ipk/K&#10;W5aDlhtiU1Dh+ISJWFDpr5JcbhwbW75eLjIm0Dx2NAcU2kCa0PXlLHqj5aM2Jp/A2O8/mMiOkGei&#10;fFkr4f5VlpvsAIeprqSmaRkUyI9OsnQO5JajR8IzBaskZ0bRm8oRAUKTQJtbKqm1ccQg2z0ZnKO9&#10;l2e6m0OIuh/IibqwzBmahcL3Mrd52P5cF6Tfb3X7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Up&#10;/qPVAAAACwEAAA8AAAAAAAAAAQAgAAAAIgAAAGRycy9kb3ducmV2LnhtbFBLAQIUABQAAAAIAIdO&#10;4kDYwuTd7QEAAPM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b/>
          <w:sz w:val="24"/>
          <w:szCs w:val="24"/>
        </w:rPr>
        <w:t>经过采购代理机构与采购人协议，规定由中标单位支付。采购代理服务费收费标准如下：</w:t>
      </w:r>
    </w:p>
    <w:tbl>
      <w:tblPr>
        <w:tblStyle w:val="10"/>
        <w:tblW w:w="8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2146"/>
        <w:gridCol w:w="1948"/>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617" w:type="dxa"/>
          </w:tcPr>
          <w:p>
            <w:pPr>
              <w:spacing w:line="360" w:lineRule="auto"/>
              <w:ind w:firstLine="1118" w:firstLineChars="466"/>
              <w:rPr>
                <w:rFonts w:ascii="宋体" w:hAnsi="宋体" w:cs="宋体"/>
                <w:sz w:val="24"/>
              </w:rPr>
            </w:pPr>
            <w:r>
              <w:rPr>
                <w:rFonts w:ascii="宋体" w:hAnsi="宋体" w:cs="宋体"/>
                <w:sz w:val="24"/>
              </w:rPr>
              <mc:AlternateContent>
                <mc:Choice Requires="wps">
                  <w:drawing>
                    <wp:anchor distT="0" distB="0" distL="114300" distR="114300" simplePos="0" relativeHeight="251662336"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62336;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bfycctcBAADWAwAADgAAAGRycy9lMm9Eb2MueG1srVNNb9sw&#10;DL0P2H8QdF+cpEixGXF6WNpdiq1Atx+gSJQtQF8QlTj596PkNP3YJYf5IFMi9cj3SK3vjs6yAyQ0&#10;wXd8MZtzBl4GZXzf8T+/H7585Qyz8ErY4KHjJ0B+t/n8aT3GFpZhCFZBYgTisR1jx4ecY9s0KAdw&#10;AmchgienDsmJTNvUNyqJkdCdbZbz+W0zhqRiChIQ6XQ7OfkZMV0DGLQ2ErZB7h34PKEmsCITJRxM&#10;RL6p1WoNMv/SGiEz23FimutKScjelbXZrEXbJxEHI88liGtK+MDJCeMp6QVqK7Jg+2T+gXJGpoBB&#10;55kMrpmIVEWIxWL+QZvnQUSoXEhqjBfR8f/Byp+Hp8SM6vgNZ144avij8cAWqyLNGLGliOf4lM47&#10;JLPwPOrkyp8YsGOV83SRE46ZSTq8vVlxJl/Om9dLMWH+AcGxYnTcUsIqnjg8YqZEFPoSUnJYz8aO&#10;f1stC5ygkdPUajJdpLLR9/UuBmvUg7G23MDU777bxA6itL1+hQ7hvgsrSbYChymuuqaBGECoe69Y&#10;PkUSxNM74KUEB4ozC/RsikWAos3C2GsiKbX1VEFRdNKwWLugTiT/PibTD6TEolZZPNTuWu95NMs8&#10;vd1XpNfnuP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5HTftUAAAAJAQAADwAAAAAAAAABACAA&#10;AAAiAAAAZHJzL2Rvd25yZXYueG1sUEsBAhQAFAAAAAgAh07iQG38nHLXAQAA1gMAAA4AAAAAAAAA&#10;AQAgAAAAJAEAAGRycy9lMm9Eb2MueG1sUEsFBgAAAAAGAAYAWQEAAG0FA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60" w:lineRule="auto"/>
              <w:ind w:firstLine="1118" w:firstLineChars="46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auto"/>
              <w:ind w:firstLine="1744" w:firstLineChars="727"/>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2146" w:type="dxa"/>
            <w:vAlign w:val="center"/>
          </w:tcPr>
          <w:p>
            <w:pPr>
              <w:spacing w:line="360" w:lineRule="auto"/>
              <w:jc w:val="center"/>
              <w:rPr>
                <w:rFonts w:ascii="宋体" w:hAnsi="宋体" w:cs="宋体"/>
                <w:sz w:val="24"/>
              </w:rPr>
            </w:pPr>
            <w:r>
              <w:rPr>
                <w:rFonts w:hint="eastAsia" w:ascii="宋体" w:hAnsi="宋体" w:cs="宋体"/>
                <w:sz w:val="24"/>
              </w:rPr>
              <w:t>货物招标</w:t>
            </w:r>
          </w:p>
        </w:tc>
        <w:tc>
          <w:tcPr>
            <w:tcW w:w="1948" w:type="dxa"/>
            <w:vAlign w:val="center"/>
          </w:tcPr>
          <w:p>
            <w:pPr>
              <w:spacing w:line="360" w:lineRule="auto"/>
              <w:jc w:val="center"/>
              <w:rPr>
                <w:rFonts w:ascii="宋体" w:hAnsi="宋体" w:cs="宋体"/>
                <w:sz w:val="24"/>
              </w:rPr>
            </w:pPr>
            <w:r>
              <w:rPr>
                <w:rFonts w:hint="eastAsia" w:ascii="宋体" w:hAnsi="宋体" w:cs="宋体"/>
                <w:sz w:val="24"/>
              </w:rPr>
              <w:t>服务招标</w:t>
            </w:r>
          </w:p>
        </w:tc>
        <w:tc>
          <w:tcPr>
            <w:tcW w:w="2099" w:type="dxa"/>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17" w:type="dxa"/>
          </w:tcPr>
          <w:p>
            <w:pPr>
              <w:spacing w:line="360" w:lineRule="auto"/>
              <w:jc w:val="center"/>
              <w:rPr>
                <w:rFonts w:ascii="宋体" w:hAnsi="宋体" w:cs="宋体"/>
                <w:sz w:val="24"/>
              </w:rPr>
            </w:pPr>
            <w:r>
              <w:rPr>
                <w:rFonts w:hint="eastAsia" w:ascii="宋体" w:hAnsi="宋体" w:cs="宋体"/>
                <w:sz w:val="24"/>
              </w:rPr>
              <w:t>100以下</w:t>
            </w:r>
          </w:p>
        </w:tc>
        <w:tc>
          <w:tcPr>
            <w:tcW w:w="2146" w:type="dxa"/>
          </w:tcPr>
          <w:p>
            <w:pPr>
              <w:spacing w:line="360" w:lineRule="auto"/>
              <w:jc w:val="center"/>
              <w:rPr>
                <w:rFonts w:ascii="宋体" w:hAnsi="宋体" w:cs="宋体"/>
                <w:sz w:val="24"/>
              </w:rPr>
            </w:pPr>
            <w:r>
              <w:rPr>
                <w:rFonts w:hint="eastAsia" w:ascii="宋体" w:hAnsi="宋体" w:cs="宋体"/>
                <w:sz w:val="24"/>
              </w:rPr>
              <w:t>1.5%</w:t>
            </w:r>
          </w:p>
        </w:tc>
        <w:tc>
          <w:tcPr>
            <w:tcW w:w="1948" w:type="dxa"/>
          </w:tcPr>
          <w:p>
            <w:pPr>
              <w:spacing w:line="360" w:lineRule="auto"/>
              <w:jc w:val="center"/>
              <w:rPr>
                <w:rFonts w:ascii="宋体" w:hAnsi="宋体" w:cs="宋体"/>
                <w:sz w:val="24"/>
              </w:rPr>
            </w:pPr>
            <w:r>
              <w:rPr>
                <w:rFonts w:hint="eastAsia" w:ascii="宋体" w:hAnsi="宋体" w:cs="宋体"/>
                <w:sz w:val="24"/>
              </w:rPr>
              <w:t>1.5%</w:t>
            </w:r>
          </w:p>
        </w:tc>
        <w:tc>
          <w:tcPr>
            <w:tcW w:w="2099" w:type="dxa"/>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617" w:type="dxa"/>
          </w:tcPr>
          <w:p>
            <w:pPr>
              <w:spacing w:line="360" w:lineRule="auto"/>
              <w:jc w:val="center"/>
              <w:rPr>
                <w:rFonts w:ascii="宋体" w:hAnsi="宋体" w:cs="宋体"/>
                <w:sz w:val="24"/>
              </w:rPr>
            </w:pPr>
            <w:r>
              <w:rPr>
                <w:rFonts w:hint="eastAsia" w:ascii="宋体" w:hAnsi="宋体" w:cs="宋体"/>
                <w:sz w:val="24"/>
              </w:rPr>
              <w:t>100-500</w:t>
            </w:r>
          </w:p>
        </w:tc>
        <w:tc>
          <w:tcPr>
            <w:tcW w:w="2146" w:type="dxa"/>
          </w:tcPr>
          <w:p>
            <w:pPr>
              <w:spacing w:line="360" w:lineRule="auto"/>
              <w:jc w:val="center"/>
              <w:rPr>
                <w:rFonts w:ascii="宋体" w:hAnsi="宋体" w:cs="宋体"/>
                <w:sz w:val="24"/>
              </w:rPr>
            </w:pPr>
            <w:r>
              <w:rPr>
                <w:rFonts w:hint="eastAsia" w:ascii="宋体" w:hAnsi="宋体" w:cs="宋体"/>
                <w:sz w:val="24"/>
              </w:rPr>
              <w:t>1.1%</w:t>
            </w:r>
          </w:p>
        </w:tc>
        <w:tc>
          <w:tcPr>
            <w:tcW w:w="1948" w:type="dxa"/>
          </w:tcPr>
          <w:p>
            <w:pPr>
              <w:spacing w:line="360" w:lineRule="auto"/>
              <w:jc w:val="center"/>
              <w:rPr>
                <w:rFonts w:ascii="宋体" w:hAnsi="宋体" w:cs="宋体"/>
                <w:sz w:val="24"/>
              </w:rPr>
            </w:pPr>
            <w:r>
              <w:rPr>
                <w:rFonts w:hint="eastAsia" w:ascii="宋体" w:hAnsi="宋体" w:cs="宋体"/>
                <w:sz w:val="24"/>
              </w:rPr>
              <w:t>0.8%</w:t>
            </w:r>
          </w:p>
        </w:tc>
        <w:tc>
          <w:tcPr>
            <w:tcW w:w="2099" w:type="dxa"/>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617" w:type="dxa"/>
          </w:tcPr>
          <w:p>
            <w:pPr>
              <w:spacing w:line="360" w:lineRule="auto"/>
              <w:jc w:val="center"/>
              <w:rPr>
                <w:rFonts w:ascii="宋体" w:hAnsi="宋体" w:cs="宋体"/>
                <w:sz w:val="24"/>
              </w:rPr>
            </w:pPr>
            <w:r>
              <w:rPr>
                <w:rFonts w:hint="eastAsia" w:ascii="宋体" w:hAnsi="宋体" w:cs="宋体"/>
                <w:sz w:val="24"/>
              </w:rPr>
              <w:t>500-1000</w:t>
            </w:r>
          </w:p>
        </w:tc>
        <w:tc>
          <w:tcPr>
            <w:tcW w:w="2146" w:type="dxa"/>
          </w:tcPr>
          <w:p>
            <w:pPr>
              <w:spacing w:line="360" w:lineRule="auto"/>
              <w:jc w:val="center"/>
              <w:rPr>
                <w:rFonts w:ascii="宋体" w:hAnsi="宋体" w:cs="宋体"/>
                <w:sz w:val="24"/>
              </w:rPr>
            </w:pPr>
            <w:r>
              <w:rPr>
                <w:rFonts w:hint="eastAsia" w:ascii="宋体" w:hAnsi="宋体" w:cs="宋体"/>
                <w:sz w:val="24"/>
              </w:rPr>
              <w:t>0.8%</w:t>
            </w:r>
          </w:p>
        </w:tc>
        <w:tc>
          <w:tcPr>
            <w:tcW w:w="1948" w:type="dxa"/>
          </w:tcPr>
          <w:p>
            <w:pPr>
              <w:spacing w:line="360" w:lineRule="auto"/>
              <w:jc w:val="center"/>
              <w:rPr>
                <w:rFonts w:ascii="宋体" w:hAnsi="宋体" w:cs="宋体"/>
                <w:sz w:val="24"/>
              </w:rPr>
            </w:pPr>
            <w:r>
              <w:rPr>
                <w:rFonts w:hint="eastAsia" w:ascii="宋体" w:hAnsi="宋体" w:cs="宋体"/>
                <w:sz w:val="24"/>
              </w:rPr>
              <w:t>0.45%</w:t>
            </w:r>
          </w:p>
        </w:tc>
        <w:tc>
          <w:tcPr>
            <w:tcW w:w="2099" w:type="dxa"/>
          </w:tcPr>
          <w:p>
            <w:pPr>
              <w:spacing w:line="360" w:lineRule="auto"/>
              <w:jc w:val="center"/>
              <w:rPr>
                <w:rFonts w:ascii="宋体" w:hAnsi="宋体" w:cs="宋体"/>
                <w:sz w:val="24"/>
              </w:rPr>
            </w:pPr>
            <w:r>
              <w:rPr>
                <w:rFonts w:hint="eastAsia" w:ascii="宋体" w:hAnsi="宋体" w:cs="宋体"/>
                <w:sz w:val="24"/>
              </w:rPr>
              <w:t>0.55％</w:t>
            </w:r>
          </w:p>
        </w:tc>
      </w:tr>
    </w:tbl>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5.1响应文件以及与集中采购机构和采购人就有关磋商的所有来往函电均应使用简体中文。</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5.5响应文件的组成</w:t>
      </w:r>
    </w:p>
    <w:p>
      <w:pPr>
        <w:spacing w:line="360" w:lineRule="auto"/>
        <w:ind w:left="315" w:leftChars="150"/>
        <w:rPr>
          <w:rFonts w:ascii="Times New Roman" w:hAnsi="Times New Roman" w:cs="Times New Roman"/>
          <w:bCs/>
          <w:sz w:val="24"/>
          <w:szCs w:val="24"/>
        </w:rPr>
      </w:pPr>
      <w:r>
        <w:rPr>
          <w:rFonts w:ascii="Times New Roman" w:hAnsi="Times New Roman" w:cs="Times New Roman"/>
          <w:bCs/>
          <w:sz w:val="24"/>
          <w:szCs w:val="24"/>
        </w:rPr>
        <w:t>不限于以下内容,应该有的必须提供,如未提供,磋商小组有权拒绝其响应文件：</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1）磋商书 (附件1)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2）报价组成情况表(附件2)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3）货物（服务）清单(附件3)；</w:t>
      </w:r>
    </w:p>
    <w:p>
      <w:pPr>
        <w:spacing w:line="360" w:lineRule="auto"/>
        <w:rPr>
          <w:rFonts w:ascii="Times New Roman" w:hAnsi="Times New Roman" w:cs="Times New Roman"/>
          <w:bCs/>
          <w:sz w:val="24"/>
          <w:szCs w:val="24"/>
        </w:rPr>
      </w:pPr>
      <w:r>
        <w:rPr>
          <w:rFonts w:ascii="Times New Roman" w:hAnsi="Times New Roman" w:cs="Times New Roman"/>
          <w:bCs/>
          <w:sz w:val="24"/>
          <w:szCs w:val="24"/>
        </w:rPr>
        <w:t>4）资格性符合性检查对照表(附件4)；</w:t>
      </w:r>
    </w:p>
    <w:p>
      <w:pPr>
        <w:spacing w:line="360" w:lineRule="auto"/>
        <w:rPr>
          <w:rFonts w:ascii="Times New Roman" w:hAnsi="Times New Roman" w:cs="Times New Roman"/>
          <w:bCs/>
          <w:sz w:val="24"/>
          <w:szCs w:val="24"/>
        </w:rPr>
      </w:pPr>
      <w:r>
        <w:rPr>
          <w:rFonts w:ascii="Times New Roman" w:hAnsi="Times New Roman" w:cs="Times New Roman"/>
          <w:bCs/>
          <w:sz w:val="24"/>
          <w:szCs w:val="24"/>
        </w:rPr>
        <w:t>5）技术响应、偏离情况说明表(附件5)；</w:t>
      </w:r>
    </w:p>
    <w:p>
      <w:pPr>
        <w:spacing w:line="360" w:lineRule="auto"/>
        <w:rPr>
          <w:rFonts w:ascii="Times New Roman" w:hAnsi="Times New Roman" w:cs="Times New Roman"/>
          <w:bCs/>
          <w:sz w:val="24"/>
          <w:szCs w:val="24"/>
        </w:rPr>
      </w:pPr>
      <w:r>
        <w:rPr>
          <w:rFonts w:ascii="Times New Roman" w:hAnsi="Times New Roman" w:cs="Times New Roman"/>
          <w:bCs/>
          <w:sz w:val="24"/>
          <w:szCs w:val="24"/>
        </w:rPr>
        <w:t>6）合同草案条款响应、偏离情况说明表（附件6）；</w:t>
      </w:r>
    </w:p>
    <w:p>
      <w:pPr>
        <w:spacing w:line="360" w:lineRule="auto"/>
        <w:rPr>
          <w:rFonts w:ascii="Times New Roman" w:hAnsi="Times New Roman" w:cs="Times New Roman"/>
          <w:bCs/>
          <w:sz w:val="24"/>
          <w:szCs w:val="24"/>
        </w:rPr>
      </w:pPr>
      <w:r>
        <w:rPr>
          <w:rFonts w:ascii="Times New Roman" w:hAnsi="Times New Roman" w:cs="Times New Roman"/>
          <w:bCs/>
          <w:sz w:val="24"/>
          <w:szCs w:val="24"/>
        </w:rPr>
        <w:t>7）法人（负责人）代表授权书（附件7）；</w:t>
      </w:r>
    </w:p>
    <w:p>
      <w:pPr>
        <w:spacing w:line="360" w:lineRule="auto"/>
        <w:rPr>
          <w:rFonts w:ascii="Times New Roman" w:hAnsi="Times New Roman" w:cs="Times New Roman"/>
          <w:bCs/>
          <w:sz w:val="24"/>
          <w:szCs w:val="24"/>
        </w:rPr>
      </w:pPr>
      <w:r>
        <w:rPr>
          <w:rFonts w:ascii="Times New Roman" w:hAnsi="Times New Roman" w:cs="Times New Roman"/>
          <w:bCs/>
          <w:sz w:val="24"/>
          <w:szCs w:val="24"/>
        </w:rPr>
        <w:t>8）法人或者其他组织的营业执照等证明文件，自然人的身份证明(附件8)；</w:t>
      </w:r>
    </w:p>
    <w:p>
      <w:pPr>
        <w:spacing w:line="360" w:lineRule="auto"/>
        <w:rPr>
          <w:rFonts w:ascii="Times New Roman" w:hAnsi="Times New Roman" w:cs="Times New Roman"/>
          <w:bCs/>
          <w:sz w:val="24"/>
          <w:szCs w:val="24"/>
        </w:rPr>
      </w:pPr>
      <w:r>
        <w:rPr>
          <w:rFonts w:ascii="Times New Roman" w:hAnsi="Times New Roman" w:cs="Times New Roman"/>
          <w:bCs/>
          <w:sz w:val="24"/>
          <w:szCs w:val="24"/>
        </w:rPr>
        <w:t>9）财务状况报告，依法缴纳税收和社会保障资金的相关材料(附件9)；</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10）具备履行合同所必需的设备和专业技术能力的证明材料(附件10)；</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11）参加政府采购活动前3年内在经营活动中没有重大违法记录的书面声明(附件11)；</w:t>
      </w:r>
    </w:p>
    <w:p>
      <w:pPr>
        <w:spacing w:line="360" w:lineRule="auto"/>
        <w:ind w:left="362" w:leftChars="1" w:hanging="360" w:hangingChars="150"/>
        <w:rPr>
          <w:bCs/>
          <w:color w:val="000000" w:themeColor="text1"/>
          <w:sz w:val="24"/>
        </w:rPr>
      </w:pPr>
      <w:r>
        <w:rPr>
          <w:rFonts w:hint="eastAsia"/>
          <w:bCs/>
          <w:color w:val="000000" w:themeColor="text1"/>
          <w:sz w:val="24"/>
        </w:rPr>
        <w:t>12）未被列入“信用中国”网站(www.creditchina. gov.cn)失信被执行人、重大税收违法案件当事人名单、政府采购严重违法失信行为记录名单的网页打印件(附件12)。</w:t>
      </w:r>
    </w:p>
    <w:p>
      <w:pPr>
        <w:spacing w:line="360" w:lineRule="auto"/>
        <w:ind w:left="362" w:leftChars="1" w:hanging="360" w:hangingChars="150"/>
        <w:rPr>
          <w:bCs/>
          <w:color w:val="000000" w:themeColor="text1"/>
          <w:sz w:val="24"/>
        </w:rPr>
      </w:pPr>
      <w:r>
        <w:rPr>
          <w:rFonts w:hint="eastAsia"/>
          <w:bCs/>
          <w:color w:val="000000" w:themeColor="text1"/>
          <w:sz w:val="24"/>
        </w:rPr>
        <w:t>13）《中小企业声明函》、《残疾人福利性单位声明函》、属于监狱企业的证明文件等（如果有的话）（附件13-1）。</w:t>
      </w:r>
    </w:p>
    <w:p>
      <w:pPr>
        <w:spacing w:line="360" w:lineRule="auto"/>
        <w:ind w:left="273" w:leftChars="130"/>
        <w:rPr>
          <w:b/>
          <w:bCs/>
          <w:color w:val="000000" w:themeColor="text1"/>
          <w:sz w:val="24"/>
        </w:rPr>
      </w:pPr>
      <w:r>
        <w:rPr>
          <w:rFonts w:hint="eastAsia"/>
          <w:b/>
          <w:bCs/>
          <w:color w:val="000000" w:themeColor="text1"/>
          <w:sz w:val="24"/>
        </w:rPr>
        <w:t>本文件要求提供的其他资格证明文件及资料。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themeColor="text1"/>
          <w:sz w:val="24"/>
        </w:rPr>
        <w:t>起</w:t>
      </w:r>
      <w:r>
        <w:rPr>
          <w:rFonts w:hint="eastAsia"/>
          <w:bCs/>
          <w:color w:val="000000" w:themeColor="text1"/>
          <w:sz w:val="24"/>
        </w:rPr>
        <w:t>90</w:t>
      </w:r>
      <w:r>
        <w:rPr>
          <w:bCs/>
          <w:color w:val="000000" w:themeColor="text1"/>
          <w:sz w:val="24"/>
        </w:rPr>
        <w:t>日历日</w:t>
      </w:r>
      <w:r>
        <w:rPr>
          <w:rFonts w:hint="eastAsia"/>
          <w:bCs/>
          <w:color w:val="000000" w:themeColor="text1"/>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360" w:lineRule="auto"/>
        <w:outlineLvl w:val="0"/>
        <w:rPr>
          <w:rFonts w:ascii="Times New Roman" w:hAnsi="Times New Roman" w:cs="Times New Roman"/>
          <w:b/>
          <w:sz w:val="24"/>
          <w:szCs w:val="24"/>
        </w:rPr>
      </w:pPr>
    </w:p>
    <w:p>
      <w:pPr>
        <w:spacing w:line="360" w:lineRule="auto"/>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9. 报价以人民币报价。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bCs/>
          <w:sz w:val="24"/>
          <w:szCs w:val="24"/>
        </w:rPr>
        <w:t>11. 成交供应商负</w:t>
      </w:r>
      <w:r>
        <w:rPr>
          <w:rFonts w:ascii="Times New Roman" w:hAnsi="Times New Roman" w:cs="Times New Roman"/>
          <w:sz w:val="24"/>
          <w:szCs w:val="24"/>
        </w:rPr>
        <w:t>责本项目所需的售后服务等全部工作，文件另有规定的除外。</w:t>
      </w:r>
    </w:p>
    <w:p>
      <w:pPr>
        <w:spacing w:line="360" w:lineRule="auto"/>
        <w:ind w:left="420" w:hanging="420"/>
        <w:rPr>
          <w:rFonts w:ascii="Times New Roman" w:hAnsi="Times New Roman" w:cs="Times New Roman"/>
          <w:b/>
          <w:bCs/>
          <w:sz w:val="24"/>
          <w:szCs w:val="24"/>
        </w:rPr>
      </w:pPr>
    </w:p>
    <w:p>
      <w:pPr>
        <w:spacing w:line="360" w:lineRule="auto"/>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12. 响应文件的份数和封装</w:t>
      </w:r>
    </w:p>
    <w:p>
      <w:pPr>
        <w:spacing w:line="360" w:lineRule="auto"/>
        <w:ind w:left="420" w:hanging="420"/>
        <w:rPr>
          <w:rFonts w:ascii="Times New Roman" w:hAnsi="Times New Roman" w:cs="Times New Roman"/>
          <w:b/>
          <w:bCs/>
          <w:sz w:val="24"/>
          <w:szCs w:val="24"/>
        </w:rPr>
      </w:pPr>
      <w:r>
        <w:rPr>
          <w:rFonts w:ascii="Times New Roman" w:hAnsi="Times New Roman" w:cs="Times New Roman"/>
          <w:b/>
          <w:bCs/>
          <w:sz w:val="24"/>
          <w:szCs w:val="24"/>
        </w:rPr>
        <w:t>12.1</w:t>
      </w:r>
      <w:r>
        <w:rPr>
          <w:rFonts w:ascii="Times New Roman" w:hAnsi="Times New Roman" w:cs="Times New Roman"/>
          <w:bCs/>
          <w:sz w:val="24"/>
          <w:szCs w:val="24"/>
        </w:rPr>
        <w:t>响应文件一式</w:t>
      </w:r>
      <w:r>
        <w:rPr>
          <w:rFonts w:hint="eastAsia" w:ascii="Times New Roman" w:hAnsi="Times New Roman" w:cs="Times New Roman"/>
          <w:bCs/>
          <w:sz w:val="24"/>
          <w:szCs w:val="24"/>
        </w:rPr>
        <w:t>三</w:t>
      </w:r>
      <w:r>
        <w:rPr>
          <w:rFonts w:ascii="Times New Roman" w:hAnsi="Times New Roman" w:cs="Times New Roman"/>
          <w:bCs/>
          <w:sz w:val="24"/>
          <w:szCs w:val="24"/>
        </w:rPr>
        <w:t>份，其中正本一份，副本</w:t>
      </w:r>
      <w:r>
        <w:rPr>
          <w:rFonts w:hint="eastAsia" w:ascii="Times New Roman" w:hAnsi="Times New Roman" w:cs="Times New Roman"/>
          <w:bCs/>
          <w:sz w:val="24"/>
          <w:szCs w:val="24"/>
        </w:rPr>
        <w:t>二</w:t>
      </w:r>
      <w:r>
        <w:rPr>
          <w:rFonts w:ascii="Times New Roman" w:hAnsi="Times New Roman" w:cs="Times New Roman"/>
          <w:bCs/>
          <w:sz w:val="24"/>
          <w:szCs w:val="24"/>
        </w:rPr>
        <w:t>份</w:t>
      </w:r>
      <w:r>
        <w:rPr>
          <w:rFonts w:hint="eastAsia" w:ascii="Times New Roman" w:hAnsi="Times New Roman" w:cs="Times New Roman"/>
          <w:bCs/>
          <w:sz w:val="24"/>
          <w:szCs w:val="24"/>
        </w:rPr>
        <w:t>，电子文件一份</w:t>
      </w:r>
      <w:r>
        <w:rPr>
          <w:rFonts w:ascii="Times New Roman" w:hAnsi="Times New Roman" w:cs="Times New Roman"/>
          <w:bCs/>
          <w:sz w:val="24"/>
          <w:szCs w:val="24"/>
        </w:rPr>
        <w:t>。</w:t>
      </w:r>
      <w:r>
        <w:rPr>
          <w:rFonts w:hint="eastAsia" w:ascii="Times New Roman" w:hAnsi="Times New Roman" w:cs="Times New Roman"/>
          <w:bCs/>
          <w:sz w:val="24"/>
          <w:szCs w:val="24"/>
        </w:rPr>
        <w:t>正本封面应加盖供应商公章。</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12.2响应文件的信封上应写明:项目编号、项目名称、磋商内容、供应商名称。</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13. 响应文件的递交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13.1所有响应文件应于第一章“竞争性磋商邀请函”中规定的时间前递交到</w:t>
      </w:r>
      <w:r>
        <w:rPr>
          <w:rFonts w:hint="eastAsia" w:ascii="Times New Roman" w:hAnsi="Times New Roman" w:cs="Times New Roman"/>
          <w:bCs/>
          <w:sz w:val="24"/>
          <w:szCs w:val="24"/>
        </w:rPr>
        <w:t>采购代理机构</w:t>
      </w:r>
      <w:r>
        <w:rPr>
          <w:rFonts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14. 迟交的响应文件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14.1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六、磋商小组的组成</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15.磋商小组成员由</w:t>
      </w:r>
      <w:r>
        <w:rPr>
          <w:rFonts w:ascii="Times New Roman" w:hAnsi="Times New Roman" w:cs="Times New Roman"/>
          <w:bCs/>
          <w:color w:val="FF0000"/>
          <w:sz w:val="24"/>
          <w:szCs w:val="24"/>
        </w:rPr>
        <w:t>外聘专家</w:t>
      </w:r>
      <w:r>
        <w:rPr>
          <w:rFonts w:hint="eastAsia" w:ascii="Times New Roman" w:hAnsi="Times New Roman" w:cs="Times New Roman"/>
          <w:bCs/>
          <w:color w:val="FF0000"/>
          <w:sz w:val="24"/>
          <w:szCs w:val="24"/>
        </w:rPr>
        <w:t>三</w:t>
      </w:r>
      <w:r>
        <w:rPr>
          <w:rFonts w:ascii="Times New Roman" w:hAnsi="Times New Roman" w:cs="Times New Roman"/>
          <w:bCs/>
          <w:color w:val="FF0000"/>
          <w:sz w:val="24"/>
          <w:szCs w:val="24"/>
        </w:rPr>
        <w:t>名及以上（技术、经济、法律等方面）组成</w:t>
      </w:r>
      <w:r>
        <w:rPr>
          <w:rFonts w:ascii="Times New Roman" w:hAnsi="Times New Roman" w:cs="Times New Roman"/>
          <w:bCs/>
          <w:sz w:val="24"/>
          <w:szCs w:val="24"/>
        </w:rPr>
        <w:t>，外聘专家从</w:t>
      </w:r>
      <w:r>
        <w:rPr>
          <w:rFonts w:hint="eastAsia" w:ascii="Times New Roman" w:hAnsi="Times New Roman" w:cs="Times New Roman"/>
          <w:bCs/>
          <w:sz w:val="24"/>
          <w:szCs w:val="24"/>
        </w:rPr>
        <w:t>阳新县</w:t>
      </w:r>
      <w:r>
        <w:rPr>
          <w:rFonts w:ascii="Times New Roman" w:hAnsi="Times New Roman" w:cs="Times New Roman"/>
          <w:bCs/>
          <w:sz w:val="24"/>
          <w:szCs w:val="24"/>
        </w:rPr>
        <w:t>政府采购专家库中随机抽取。</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15.1磋商小组负责制定磋商文件、确定磋商供应商名单、响应文件的评审、磋商谈判、商务服务评议并评分、根据综合评分情况编写评审报告，协助处理质疑等工作。</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hint="eastAsia" w:ascii="Times New Roman" w:hAnsi="Times New Roman" w:cs="Times New Roman"/>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参加磋商的供应商委托授权代表至少须有一名技术人员参加磋商。若磋商小组和授权代表磋商时，授权代表只能简单的回答"不知道"、"不清楚"等，该供应商的磋商将有可能被拒绝。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 资格性审查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w:t>
      </w:r>
      <w:r>
        <w:rPr>
          <w:rFonts w:hint="eastAsia" w:ascii="Times New Roman" w:hAnsi="Times New Roman" w:cs="Times New Roman"/>
          <w:bCs/>
          <w:sz w:val="24"/>
          <w:szCs w:val="24"/>
        </w:rPr>
        <w:t>第四</w:t>
      </w:r>
      <w:r>
        <w:rPr>
          <w:rFonts w:ascii="Times New Roman" w:hAnsi="Times New Roman" w:cs="Times New Roman"/>
          <w:bCs/>
          <w:sz w:val="24"/>
          <w:szCs w:val="24"/>
        </w:rPr>
        <w:t>章。</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 第一轮磋商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18.1磋商小组将</w:t>
      </w:r>
      <w:r>
        <w:rPr>
          <w:rFonts w:hint="eastAsia" w:ascii="Times New Roman" w:hAnsi="Times New Roman" w:cs="Times New Roman"/>
          <w:bCs/>
          <w:color w:val="FF0000"/>
          <w:sz w:val="24"/>
          <w:szCs w:val="24"/>
        </w:rPr>
        <w:t>按照签到的顺序</w:t>
      </w:r>
      <w:r>
        <w:rPr>
          <w:rFonts w:ascii="Times New Roman" w:hAnsi="Times New Roman" w:cs="Times New Roman"/>
          <w:bCs/>
          <w:sz w:val="24"/>
          <w:szCs w:val="24"/>
        </w:rPr>
        <w:t>决定供应商的磋商顺序，并与单一供应商分别进行磋商。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18.3 响应文件的澄清和说明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18.4磋商小组按磋商文件设定的方法和标准确定供应商符合磋商文件要求的，该供应商即为合格的供应商。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18.6合格的供应商不足三家的，磋商小组、采购人在调整采购需求中的技术、服务要求以及合同草案条款后进行下一轮磋商。否则，本次磋商终止。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19.磋商文件修正</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19.2磋商小组将磋商文件的修改结果以书面形式通知参加磋商的供应商。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 第二轮磋商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20.1磋商小组就修正后的磋商文件与供应商分别进行磋商。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20.2第二轮磋商结束后，实质性响应磋商文件及变动后磋商文件要求的供应商超过或不足三家的，按照上一轮磋商程序办理，以此类推。</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 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21.1磋商小组对磋商文件中能够详细列明采购标的的技术、服务要求的，在磋商结束后，所有继续参加磋商合格的供应商应在规定时间内提交最后报价。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21.3供应商的报价均超过了政府采购预算或报价未超过采购预算的供应商不足三家的，磋商活动终止。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21.4最后报价文件应密封，并在规定的同一时间内提交。最后报价是供应商响应文件的有效组成部分。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21.5在提交最后报价之前，供应商可以根据磋商情况退出磋商。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 综合评议</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22.1 磋商小组将按照磋商文件确定的评审办法对各供应商的响应文件进行商务服务评议和价格评议。</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22.2评审采用综合评分法，具体见“第四章评审办法及评审标准”。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23.非专门面向中小企业、监狱企业或残疾人福利性单位采购项目价格评议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w:t>
      </w:r>
      <w:r>
        <w:rPr>
          <w:rFonts w:ascii="Times New Roman" w:hAnsi="Times New Roman" w:cs="Times New Roman"/>
          <w:bCs/>
          <w:sz w:val="24"/>
          <w:szCs w:val="24"/>
        </w:rPr>
        <w:t>价格分采用低价优先法计算，即满足磋商文件要求且最后报价最低的供应商的价格为磋商基准价，其价格分为满分。其他供应商的价格分计算公式：磋商报价得分=（磋商基准价/最后磋商报价）×价格</w:t>
      </w:r>
      <w:r>
        <w:rPr>
          <w:rFonts w:hint="eastAsia" w:ascii="Times New Roman" w:hAnsi="Times New Roman" w:cs="Times New Roman"/>
          <w:bCs/>
          <w:sz w:val="24"/>
          <w:szCs w:val="24"/>
        </w:rPr>
        <w:t>分</w:t>
      </w:r>
      <w:r>
        <w:rPr>
          <w:rFonts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4.1</w:t>
      </w:r>
      <w:r>
        <w:rPr>
          <w:rFonts w:ascii="Times New Roman" w:hAnsi="Times New Roman" w:cs="Times New Roman"/>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5.</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6</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7</w:t>
      </w:r>
      <w:r>
        <w:rPr>
          <w:rFonts w:ascii="Times New Roman" w:hAnsi="Times New Roman" w:cs="Times New Roman"/>
          <w:bCs/>
          <w:sz w:val="24"/>
          <w:szCs w:val="24"/>
        </w:rPr>
        <w:t>.采购人从评审报告提出的成交候选供应商中，按照排序由高到低的原则确定成交供应商。</w:t>
      </w:r>
    </w:p>
    <w:p>
      <w:pPr>
        <w:spacing w:line="360" w:lineRule="auto"/>
        <w:ind w:left="360" w:hanging="360" w:hangingChars="150"/>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8</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9</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6提起质疑的日期。</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.成交供应商在收到成交通知书后，三十日内与采购人签订供货（服务）合同。</w:t>
      </w:r>
    </w:p>
    <w:p>
      <w:pPr>
        <w:spacing w:line="360" w:lineRule="auto"/>
        <w:rPr>
          <w:rFonts w:ascii="Times New Roman" w:hAnsi="Times New Roman" w:cs="Times New Roman"/>
          <w:sz w:val="24"/>
          <w:szCs w:val="24"/>
        </w:rPr>
      </w:pPr>
    </w:p>
    <w:p>
      <w:pPr>
        <w:spacing w:line="360" w:lineRule="auto"/>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.货物（服务）交付验收合格后，</w:t>
      </w:r>
      <w:r>
        <w:rPr>
          <w:rFonts w:ascii="Times New Roman" w:hAnsi="Times New Roman" w:cs="Times New Roman"/>
          <w:bCs/>
          <w:color w:val="FF0000"/>
          <w:sz w:val="24"/>
          <w:szCs w:val="24"/>
        </w:rPr>
        <w:t>采购人办理相应金额的支付手续。</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360" w:lineRule="auto"/>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spacing w:line="360" w:lineRule="auto"/>
        <w:jc w:val="center"/>
        <w:rPr>
          <w:rFonts w:ascii="Times New Roman" w:hAnsi="Times New Roman" w:cs="Times New Roman"/>
          <w:b/>
          <w:sz w:val="24"/>
          <w:szCs w:val="24"/>
          <w:lang w:bidi="ar-EG"/>
        </w:rPr>
        <w:sectPr>
          <w:headerReference r:id="rId4" w:type="default"/>
          <w:pgSz w:w="11906" w:h="16838"/>
          <w:pgMar w:top="1440" w:right="1800" w:bottom="1440" w:left="1800" w:header="851" w:footer="907" w:gutter="0"/>
          <w:cols w:space="425" w:num="1"/>
          <w:docGrid w:type="lines" w:linePitch="312" w:charSpace="0"/>
        </w:sectPr>
      </w:pPr>
    </w:p>
    <w:p>
      <w:pPr>
        <w:spacing w:line="360" w:lineRule="auto"/>
        <w:jc w:val="center"/>
        <w:rPr>
          <w:rFonts w:ascii="Times New Roman" w:hAnsi="Times New Roman" w:cs="Times New Roman"/>
          <w:b/>
          <w:sz w:val="36"/>
          <w:szCs w:val="36"/>
          <w:lang w:val="hr-HR" w:bidi="ar-EG"/>
        </w:rPr>
      </w:pPr>
      <w:r>
        <w:rPr>
          <w:rFonts w:ascii="Times New Roman" w:hAnsi="Times New Roman" w:cs="Times New Roman"/>
          <w:b/>
          <w:sz w:val="36"/>
          <w:szCs w:val="36"/>
          <w:lang w:val="hr-HR" w:bidi="ar-EG"/>
        </w:rPr>
        <w:t>第三章  采购</w:t>
      </w:r>
      <w:r>
        <w:rPr>
          <w:rFonts w:hint="eastAsia" w:ascii="Times New Roman" w:hAnsi="Times New Roman" w:cs="Times New Roman"/>
          <w:b/>
          <w:sz w:val="36"/>
          <w:szCs w:val="36"/>
        </w:rPr>
        <w:t>需</w:t>
      </w:r>
      <w:r>
        <w:rPr>
          <w:rFonts w:ascii="Times New Roman" w:hAnsi="Times New Roman" w:cs="Times New Roman"/>
          <w:b/>
          <w:sz w:val="36"/>
          <w:szCs w:val="36"/>
        </w:rPr>
        <w:t>求</w:t>
      </w:r>
    </w:p>
    <w:p>
      <w:pPr>
        <w:adjustRightInd w:val="0"/>
        <w:snapToGrid w:val="0"/>
        <w:ind w:firstLine="482" w:firstLineChars="200"/>
        <w:jc w:val="left"/>
        <w:rPr>
          <w:b/>
          <w:color w:val="000000"/>
          <w:sz w:val="24"/>
          <w:szCs w:val="24"/>
        </w:rPr>
      </w:pPr>
    </w:p>
    <w:p>
      <w:pPr>
        <w:adjustRightInd w:val="0"/>
        <w:snapToGrid w:val="0"/>
        <w:spacing w:line="500" w:lineRule="exact"/>
        <w:ind w:firstLine="562" w:firstLineChars="200"/>
        <w:jc w:val="left"/>
        <w:rPr>
          <w:b/>
          <w:bCs/>
          <w:sz w:val="28"/>
          <w:szCs w:val="28"/>
        </w:rPr>
      </w:pPr>
      <w:r>
        <w:rPr>
          <w:rFonts w:hint="eastAsia"/>
          <w:b/>
          <w:bCs/>
          <w:sz w:val="28"/>
          <w:szCs w:val="28"/>
        </w:rPr>
        <w:t>一、</w:t>
      </w:r>
      <w:r>
        <w:rPr>
          <w:b/>
          <w:bCs/>
          <w:sz w:val="28"/>
          <w:szCs w:val="28"/>
        </w:rPr>
        <w:t>编制内容</w:t>
      </w:r>
    </w:p>
    <w:p>
      <w:pPr>
        <w:adjustRightInd w:val="0"/>
        <w:snapToGrid w:val="0"/>
        <w:spacing w:line="500" w:lineRule="exact"/>
        <w:ind w:firstLine="480" w:firstLineChars="200"/>
        <w:jc w:val="left"/>
        <w:rPr>
          <w:bCs/>
          <w:sz w:val="24"/>
          <w:szCs w:val="24"/>
        </w:rPr>
      </w:pPr>
      <w:r>
        <w:rPr>
          <w:bCs/>
          <w:sz w:val="24"/>
          <w:szCs w:val="24"/>
        </w:rPr>
        <w:t>完成</w:t>
      </w:r>
      <w:r>
        <w:rPr>
          <w:rFonts w:hint="eastAsia"/>
          <w:bCs/>
          <w:sz w:val="24"/>
          <w:szCs w:val="24"/>
        </w:rPr>
        <w:t>阳新县南市村生态产品价值实现路径试点编制</w:t>
      </w:r>
      <w:r>
        <w:rPr>
          <w:bCs/>
          <w:sz w:val="24"/>
          <w:szCs w:val="24"/>
        </w:rPr>
        <w:t>服务。</w:t>
      </w:r>
      <w:r>
        <w:rPr>
          <w:rFonts w:hint="eastAsia"/>
          <w:bCs/>
          <w:sz w:val="24"/>
          <w:szCs w:val="24"/>
        </w:rPr>
        <w:t>明确阳新县南市村自然资源产权边界，探索阳新县南市村自然资源阳新县南市村自然资源，科学合理的计算阳新县南市村自然资源生态价值，提炼生态产品价值实现试点过程中的进步经验，阐述试点过程中的疑难点及相关需求。</w:t>
      </w:r>
    </w:p>
    <w:p>
      <w:pPr>
        <w:adjustRightInd w:val="0"/>
        <w:snapToGrid w:val="0"/>
        <w:spacing w:line="500" w:lineRule="exact"/>
        <w:ind w:firstLine="562" w:firstLineChars="200"/>
        <w:jc w:val="left"/>
        <w:rPr>
          <w:b/>
          <w:bCs/>
          <w:sz w:val="28"/>
          <w:szCs w:val="28"/>
        </w:rPr>
      </w:pPr>
      <w:r>
        <w:rPr>
          <w:rFonts w:hint="eastAsia"/>
          <w:b/>
          <w:bCs/>
          <w:sz w:val="28"/>
          <w:szCs w:val="28"/>
        </w:rPr>
        <w:t>二、服务技术要求</w:t>
      </w:r>
    </w:p>
    <w:p>
      <w:pPr>
        <w:adjustRightInd w:val="0"/>
        <w:snapToGrid w:val="0"/>
        <w:spacing w:line="500" w:lineRule="exact"/>
        <w:ind w:firstLine="482" w:firstLineChars="200"/>
        <w:jc w:val="left"/>
        <w:rPr>
          <w:b/>
          <w:bCs/>
          <w:sz w:val="24"/>
          <w:szCs w:val="24"/>
        </w:rPr>
      </w:pPr>
      <w:r>
        <w:rPr>
          <w:rFonts w:hint="eastAsia"/>
          <w:b/>
          <w:bCs/>
          <w:sz w:val="24"/>
          <w:szCs w:val="24"/>
        </w:rPr>
        <w:t>（一）项目依据</w:t>
      </w:r>
    </w:p>
    <w:p>
      <w:pPr>
        <w:adjustRightInd w:val="0"/>
        <w:snapToGrid w:val="0"/>
        <w:spacing w:line="500" w:lineRule="exact"/>
        <w:ind w:firstLine="480" w:firstLineChars="200"/>
        <w:jc w:val="left"/>
        <w:rPr>
          <w:bCs/>
          <w:sz w:val="24"/>
          <w:szCs w:val="24"/>
        </w:rPr>
      </w:pPr>
      <w:r>
        <w:rPr>
          <w:rFonts w:hint="eastAsia"/>
          <w:bCs/>
          <w:sz w:val="24"/>
          <w:szCs w:val="24"/>
        </w:rPr>
        <w:t>（1）法律法规</w:t>
      </w:r>
    </w:p>
    <w:p>
      <w:pPr>
        <w:adjustRightInd w:val="0"/>
        <w:snapToGrid w:val="0"/>
        <w:spacing w:line="500" w:lineRule="exact"/>
        <w:ind w:firstLine="480" w:firstLineChars="200"/>
        <w:jc w:val="left"/>
        <w:rPr>
          <w:bCs/>
          <w:sz w:val="24"/>
          <w:szCs w:val="24"/>
        </w:rPr>
      </w:pPr>
      <w:r>
        <w:rPr>
          <w:rFonts w:hint="eastAsia"/>
          <w:bCs/>
          <w:sz w:val="24"/>
          <w:szCs w:val="24"/>
        </w:rPr>
        <w:t>《中华人民共和国宪法》</w:t>
      </w:r>
    </w:p>
    <w:p>
      <w:pPr>
        <w:adjustRightInd w:val="0"/>
        <w:snapToGrid w:val="0"/>
        <w:spacing w:line="500" w:lineRule="exact"/>
        <w:ind w:firstLine="480" w:firstLineChars="200"/>
        <w:jc w:val="left"/>
        <w:rPr>
          <w:bCs/>
          <w:sz w:val="24"/>
          <w:szCs w:val="24"/>
        </w:rPr>
      </w:pPr>
      <w:r>
        <w:rPr>
          <w:rFonts w:hint="eastAsia"/>
          <w:bCs/>
          <w:sz w:val="24"/>
          <w:szCs w:val="24"/>
        </w:rPr>
        <w:t>《中华人民共和国物权法》</w:t>
      </w:r>
    </w:p>
    <w:p>
      <w:pPr>
        <w:adjustRightInd w:val="0"/>
        <w:snapToGrid w:val="0"/>
        <w:spacing w:line="500" w:lineRule="exact"/>
        <w:ind w:firstLine="480" w:firstLineChars="200"/>
        <w:jc w:val="left"/>
        <w:rPr>
          <w:bCs/>
          <w:sz w:val="24"/>
          <w:szCs w:val="24"/>
        </w:rPr>
      </w:pPr>
      <w:r>
        <w:rPr>
          <w:rFonts w:hint="eastAsia"/>
          <w:bCs/>
          <w:sz w:val="24"/>
          <w:szCs w:val="24"/>
        </w:rPr>
        <w:t>《中华人民共和国矿产资源法》</w:t>
      </w:r>
    </w:p>
    <w:p>
      <w:pPr>
        <w:adjustRightInd w:val="0"/>
        <w:snapToGrid w:val="0"/>
        <w:spacing w:line="500" w:lineRule="exact"/>
        <w:ind w:firstLine="480" w:firstLineChars="200"/>
        <w:jc w:val="left"/>
        <w:rPr>
          <w:bCs/>
          <w:sz w:val="24"/>
          <w:szCs w:val="24"/>
        </w:rPr>
      </w:pPr>
      <w:r>
        <w:rPr>
          <w:rFonts w:hint="eastAsia"/>
          <w:bCs/>
          <w:sz w:val="24"/>
          <w:szCs w:val="24"/>
        </w:rPr>
        <w:t>《中华人民共和国土地管理法》</w:t>
      </w:r>
    </w:p>
    <w:p>
      <w:pPr>
        <w:adjustRightInd w:val="0"/>
        <w:snapToGrid w:val="0"/>
        <w:spacing w:line="500" w:lineRule="exact"/>
        <w:ind w:firstLine="480" w:firstLineChars="200"/>
        <w:jc w:val="left"/>
        <w:rPr>
          <w:bCs/>
          <w:sz w:val="24"/>
          <w:szCs w:val="24"/>
        </w:rPr>
      </w:pPr>
      <w:r>
        <w:rPr>
          <w:rFonts w:hint="eastAsia"/>
          <w:bCs/>
          <w:sz w:val="24"/>
          <w:szCs w:val="24"/>
        </w:rPr>
        <w:t>《中华人民共和国土地管理法实施条例》</w:t>
      </w:r>
    </w:p>
    <w:p>
      <w:pPr>
        <w:adjustRightInd w:val="0"/>
        <w:snapToGrid w:val="0"/>
        <w:spacing w:line="500" w:lineRule="exact"/>
        <w:ind w:firstLine="480" w:firstLineChars="200"/>
        <w:jc w:val="left"/>
        <w:rPr>
          <w:bCs/>
          <w:sz w:val="24"/>
          <w:szCs w:val="24"/>
        </w:rPr>
      </w:pPr>
      <w:r>
        <w:rPr>
          <w:rFonts w:hint="eastAsia"/>
          <w:bCs/>
          <w:sz w:val="24"/>
          <w:szCs w:val="24"/>
        </w:rPr>
        <w:t>《湖北省土地管理实施办法》</w:t>
      </w:r>
    </w:p>
    <w:p>
      <w:pPr>
        <w:adjustRightInd w:val="0"/>
        <w:snapToGrid w:val="0"/>
        <w:spacing w:line="500" w:lineRule="exact"/>
        <w:ind w:firstLine="480" w:firstLineChars="200"/>
        <w:jc w:val="left"/>
        <w:rPr>
          <w:bCs/>
          <w:sz w:val="24"/>
          <w:szCs w:val="24"/>
        </w:rPr>
      </w:pPr>
      <w:r>
        <w:rPr>
          <w:rFonts w:hint="eastAsia"/>
          <w:bCs/>
          <w:sz w:val="24"/>
          <w:szCs w:val="24"/>
        </w:rPr>
        <w:t>《湖北省企业国有产权交易操作规则》</w:t>
      </w:r>
    </w:p>
    <w:p>
      <w:pPr>
        <w:adjustRightInd w:val="0"/>
        <w:snapToGrid w:val="0"/>
        <w:spacing w:line="500" w:lineRule="exact"/>
        <w:ind w:firstLine="480" w:firstLineChars="200"/>
        <w:jc w:val="left"/>
        <w:rPr>
          <w:bCs/>
          <w:sz w:val="24"/>
          <w:szCs w:val="24"/>
        </w:rPr>
      </w:pPr>
      <w:r>
        <w:rPr>
          <w:rFonts w:hint="eastAsia"/>
          <w:bCs/>
          <w:sz w:val="24"/>
          <w:szCs w:val="24"/>
        </w:rPr>
        <w:t>《湖北省矿产资源开采管理条例》</w:t>
      </w:r>
    </w:p>
    <w:p>
      <w:pPr>
        <w:adjustRightInd w:val="0"/>
        <w:snapToGrid w:val="0"/>
        <w:spacing w:line="500" w:lineRule="exact"/>
        <w:ind w:firstLine="480" w:firstLineChars="200"/>
        <w:jc w:val="left"/>
        <w:rPr>
          <w:bCs/>
          <w:sz w:val="24"/>
          <w:szCs w:val="24"/>
        </w:rPr>
      </w:pPr>
      <w:r>
        <w:rPr>
          <w:rFonts w:hint="eastAsia"/>
          <w:bCs/>
          <w:sz w:val="24"/>
          <w:szCs w:val="24"/>
        </w:rPr>
        <w:t>《矿产资源监督管理暂行办法》</w:t>
      </w:r>
    </w:p>
    <w:p>
      <w:pPr>
        <w:adjustRightInd w:val="0"/>
        <w:snapToGrid w:val="0"/>
        <w:spacing w:line="500" w:lineRule="exact"/>
        <w:ind w:firstLine="480" w:firstLineChars="200"/>
        <w:jc w:val="left"/>
        <w:rPr>
          <w:bCs/>
          <w:sz w:val="24"/>
          <w:szCs w:val="24"/>
        </w:rPr>
      </w:pPr>
      <w:r>
        <w:rPr>
          <w:rFonts w:hint="eastAsia"/>
          <w:bCs/>
          <w:sz w:val="24"/>
          <w:szCs w:val="24"/>
        </w:rPr>
        <w:t>《中华人民共和国森林法》</w:t>
      </w:r>
    </w:p>
    <w:p>
      <w:pPr>
        <w:adjustRightInd w:val="0"/>
        <w:snapToGrid w:val="0"/>
        <w:spacing w:line="500" w:lineRule="exact"/>
        <w:ind w:firstLine="480" w:firstLineChars="200"/>
        <w:jc w:val="left"/>
        <w:rPr>
          <w:bCs/>
          <w:sz w:val="24"/>
          <w:szCs w:val="24"/>
        </w:rPr>
      </w:pPr>
      <w:r>
        <w:rPr>
          <w:rFonts w:hint="eastAsia"/>
          <w:bCs/>
          <w:sz w:val="24"/>
          <w:szCs w:val="24"/>
        </w:rPr>
        <w:t>《湖北省森林采伐管理办法》</w:t>
      </w:r>
    </w:p>
    <w:p>
      <w:pPr>
        <w:adjustRightInd w:val="0"/>
        <w:snapToGrid w:val="0"/>
        <w:spacing w:line="500" w:lineRule="exact"/>
        <w:ind w:firstLine="480" w:firstLineChars="200"/>
        <w:jc w:val="left"/>
        <w:rPr>
          <w:bCs/>
          <w:sz w:val="24"/>
          <w:szCs w:val="24"/>
        </w:rPr>
      </w:pPr>
      <w:r>
        <w:rPr>
          <w:rFonts w:hint="eastAsia"/>
          <w:bCs/>
          <w:sz w:val="24"/>
          <w:szCs w:val="24"/>
        </w:rPr>
        <w:t>《湖北省森林资源流转条例》</w:t>
      </w:r>
    </w:p>
    <w:p>
      <w:pPr>
        <w:adjustRightInd w:val="0"/>
        <w:snapToGrid w:val="0"/>
        <w:spacing w:line="500" w:lineRule="exact"/>
        <w:ind w:firstLine="480" w:firstLineChars="200"/>
        <w:jc w:val="left"/>
        <w:rPr>
          <w:bCs/>
          <w:sz w:val="24"/>
          <w:szCs w:val="24"/>
        </w:rPr>
      </w:pPr>
      <w:r>
        <w:rPr>
          <w:rFonts w:hint="eastAsia"/>
          <w:bCs/>
          <w:sz w:val="24"/>
          <w:szCs w:val="24"/>
        </w:rPr>
        <w:t>《中华人民共和国水法》</w:t>
      </w:r>
    </w:p>
    <w:p>
      <w:pPr>
        <w:adjustRightInd w:val="0"/>
        <w:snapToGrid w:val="0"/>
        <w:spacing w:line="500" w:lineRule="exact"/>
        <w:ind w:firstLine="480" w:firstLineChars="200"/>
        <w:jc w:val="left"/>
        <w:rPr>
          <w:bCs/>
          <w:sz w:val="24"/>
          <w:szCs w:val="24"/>
        </w:rPr>
      </w:pPr>
      <w:r>
        <w:rPr>
          <w:rFonts w:hint="eastAsia"/>
          <w:bCs/>
          <w:sz w:val="24"/>
          <w:szCs w:val="24"/>
        </w:rPr>
        <w:t>《取水许可制度实施办法》</w:t>
      </w:r>
    </w:p>
    <w:p>
      <w:pPr>
        <w:adjustRightInd w:val="0"/>
        <w:snapToGrid w:val="0"/>
        <w:spacing w:line="500" w:lineRule="exact"/>
        <w:ind w:firstLine="480" w:firstLineChars="200"/>
        <w:jc w:val="left"/>
        <w:rPr>
          <w:bCs/>
          <w:sz w:val="24"/>
          <w:szCs w:val="24"/>
        </w:rPr>
      </w:pPr>
      <w:r>
        <w:rPr>
          <w:rFonts w:hint="eastAsia"/>
          <w:bCs/>
          <w:sz w:val="24"/>
          <w:szCs w:val="24"/>
        </w:rPr>
        <w:t>《水利风景区管理办法》</w:t>
      </w:r>
    </w:p>
    <w:p>
      <w:pPr>
        <w:adjustRightInd w:val="0"/>
        <w:snapToGrid w:val="0"/>
        <w:spacing w:line="500" w:lineRule="exact"/>
        <w:ind w:firstLine="480" w:firstLineChars="200"/>
        <w:jc w:val="left"/>
        <w:rPr>
          <w:bCs/>
          <w:sz w:val="24"/>
          <w:szCs w:val="24"/>
        </w:rPr>
      </w:pPr>
      <w:r>
        <w:rPr>
          <w:rFonts w:hint="eastAsia"/>
          <w:bCs/>
          <w:sz w:val="24"/>
          <w:szCs w:val="24"/>
        </w:rPr>
        <w:t>《湖北省湿地公园管理办法》</w:t>
      </w:r>
    </w:p>
    <w:p>
      <w:pPr>
        <w:adjustRightInd w:val="0"/>
        <w:snapToGrid w:val="0"/>
        <w:spacing w:line="500" w:lineRule="exact"/>
        <w:ind w:firstLine="480" w:firstLineChars="200"/>
        <w:jc w:val="left"/>
        <w:rPr>
          <w:bCs/>
          <w:sz w:val="24"/>
          <w:szCs w:val="24"/>
        </w:rPr>
      </w:pPr>
      <w:r>
        <w:rPr>
          <w:rFonts w:hint="eastAsia"/>
          <w:bCs/>
          <w:sz w:val="24"/>
          <w:szCs w:val="24"/>
        </w:rPr>
        <w:t>（2）政策依据</w:t>
      </w:r>
    </w:p>
    <w:p>
      <w:pPr>
        <w:adjustRightInd w:val="0"/>
        <w:snapToGrid w:val="0"/>
        <w:spacing w:line="500" w:lineRule="exact"/>
        <w:ind w:firstLine="480" w:firstLineChars="200"/>
        <w:jc w:val="left"/>
        <w:rPr>
          <w:bCs/>
          <w:sz w:val="24"/>
          <w:szCs w:val="24"/>
        </w:rPr>
      </w:pPr>
      <w:r>
        <w:rPr>
          <w:rFonts w:hint="eastAsia"/>
          <w:bCs/>
          <w:sz w:val="24"/>
          <w:szCs w:val="24"/>
        </w:rPr>
        <w:t>中共中央 国务院《生态文明体制改革总体方案》</w:t>
      </w:r>
    </w:p>
    <w:p>
      <w:pPr>
        <w:adjustRightInd w:val="0"/>
        <w:snapToGrid w:val="0"/>
        <w:spacing w:line="500" w:lineRule="exact"/>
        <w:ind w:firstLine="480" w:firstLineChars="200"/>
        <w:jc w:val="left"/>
        <w:rPr>
          <w:bCs/>
          <w:sz w:val="24"/>
          <w:szCs w:val="24"/>
        </w:rPr>
      </w:pPr>
      <w:r>
        <w:rPr>
          <w:rFonts w:hint="eastAsia"/>
          <w:bCs/>
          <w:sz w:val="24"/>
          <w:szCs w:val="24"/>
        </w:rPr>
        <w:t>中共中央办公厅 国务院办公厅《关</w:t>
      </w:r>
      <w:r>
        <w:rPr>
          <w:bCs/>
          <w:sz w:val="24"/>
          <w:szCs w:val="24"/>
        </w:rPr>
        <w:t>于统筹推进自然资源资产产权制度改革的指导意见</w:t>
      </w:r>
      <w:r>
        <w:rPr>
          <w:rFonts w:hint="eastAsia"/>
          <w:bCs/>
          <w:sz w:val="24"/>
          <w:szCs w:val="24"/>
        </w:rPr>
        <w:t>》</w:t>
      </w:r>
    </w:p>
    <w:p>
      <w:pPr>
        <w:adjustRightInd w:val="0"/>
        <w:snapToGrid w:val="0"/>
        <w:spacing w:line="500" w:lineRule="exact"/>
        <w:ind w:firstLine="480" w:firstLineChars="200"/>
        <w:jc w:val="left"/>
        <w:rPr>
          <w:bCs/>
          <w:sz w:val="24"/>
          <w:szCs w:val="24"/>
        </w:rPr>
      </w:pPr>
      <w:r>
        <w:rPr>
          <w:rFonts w:hint="eastAsia"/>
          <w:bCs/>
          <w:sz w:val="24"/>
          <w:szCs w:val="24"/>
        </w:rPr>
        <w:t>国务院《关于全民所有自然资源资产有偿使用制度改革的指导意见》</w:t>
      </w:r>
    </w:p>
    <w:p>
      <w:pPr>
        <w:adjustRightInd w:val="0"/>
        <w:snapToGrid w:val="0"/>
        <w:spacing w:line="500" w:lineRule="exact"/>
        <w:ind w:firstLine="480" w:firstLineChars="200"/>
        <w:jc w:val="left"/>
        <w:rPr>
          <w:bCs/>
          <w:sz w:val="24"/>
          <w:szCs w:val="24"/>
        </w:rPr>
      </w:pPr>
      <w:r>
        <w:rPr>
          <w:rFonts w:hint="eastAsia"/>
          <w:bCs/>
          <w:sz w:val="24"/>
          <w:szCs w:val="24"/>
        </w:rPr>
        <w:t>湖北省自然资源厅《关于开展生态产品价值实现、生态补偿试点的通知》（鄂自然资函〔2019〕547号）</w:t>
      </w:r>
    </w:p>
    <w:p>
      <w:pPr>
        <w:adjustRightInd w:val="0"/>
        <w:snapToGrid w:val="0"/>
        <w:spacing w:line="500" w:lineRule="exact"/>
        <w:ind w:firstLine="482" w:firstLineChars="200"/>
        <w:jc w:val="left"/>
        <w:rPr>
          <w:b/>
          <w:bCs/>
          <w:sz w:val="28"/>
          <w:szCs w:val="28"/>
        </w:rPr>
      </w:pPr>
      <w:r>
        <w:rPr>
          <w:rFonts w:hint="eastAsia"/>
          <w:b/>
          <w:bCs/>
          <w:sz w:val="24"/>
          <w:szCs w:val="24"/>
        </w:rPr>
        <w:t>（二）</w:t>
      </w:r>
      <w:r>
        <w:rPr>
          <w:b/>
          <w:bCs/>
          <w:sz w:val="24"/>
          <w:szCs w:val="24"/>
        </w:rPr>
        <w:t>编制要求</w:t>
      </w:r>
    </w:p>
    <w:p>
      <w:pPr>
        <w:adjustRightInd w:val="0"/>
        <w:snapToGrid w:val="0"/>
        <w:spacing w:line="500" w:lineRule="exact"/>
        <w:ind w:firstLine="480" w:firstLineChars="200"/>
        <w:jc w:val="left"/>
        <w:rPr>
          <w:bCs/>
          <w:sz w:val="24"/>
          <w:szCs w:val="24"/>
        </w:rPr>
      </w:pPr>
      <w:r>
        <w:rPr>
          <w:rFonts w:hint="eastAsia"/>
          <w:bCs/>
          <w:sz w:val="24"/>
          <w:szCs w:val="24"/>
        </w:rPr>
        <w:t>坚持以习近平新时代中国特色社会主义思想为指导，全面贯彻党的十九大精神，加快构建生态文明体系，落实《关于统筹推进自然资源资产产权制度改革的指导意见》，深入践行绿水青山就是金山银山的理念，建立并完善自然资源资产有偿使用制度，推动利用自然资源优势发展特色产业。贯彻落实湖北省自然资源厅下发的《关于开展生态产品价值实现、生态补偿试点的通知》，</w:t>
      </w:r>
      <w:r>
        <w:rPr>
          <w:bCs/>
          <w:sz w:val="24"/>
          <w:szCs w:val="24"/>
        </w:rPr>
        <w:t>完成</w:t>
      </w:r>
      <w:r>
        <w:rPr>
          <w:rFonts w:hint="eastAsia"/>
          <w:bCs/>
          <w:sz w:val="24"/>
          <w:szCs w:val="24"/>
        </w:rPr>
        <w:t>阳新县南市村生态产品价值实现路径试点编制。</w:t>
      </w:r>
      <w:r>
        <w:rPr>
          <w:bCs/>
          <w:sz w:val="24"/>
          <w:szCs w:val="24"/>
        </w:rPr>
        <w:t>编制工作覆盖范围广、涉及领域多，按照工作部署，高效率、高质量完成</w:t>
      </w:r>
      <w:r>
        <w:rPr>
          <w:rFonts w:hint="eastAsia"/>
          <w:bCs/>
          <w:sz w:val="24"/>
          <w:szCs w:val="24"/>
        </w:rPr>
        <w:t>编制</w:t>
      </w:r>
      <w:r>
        <w:rPr>
          <w:bCs/>
          <w:sz w:val="24"/>
          <w:szCs w:val="24"/>
        </w:rPr>
        <w:t>任务。</w:t>
      </w:r>
    </w:p>
    <w:p>
      <w:pPr>
        <w:adjustRightInd w:val="0"/>
        <w:snapToGrid w:val="0"/>
        <w:spacing w:line="500" w:lineRule="exact"/>
        <w:ind w:firstLine="480" w:firstLineChars="200"/>
        <w:jc w:val="left"/>
        <w:rPr>
          <w:bCs/>
          <w:sz w:val="24"/>
          <w:szCs w:val="24"/>
        </w:rPr>
      </w:pPr>
      <w:r>
        <w:rPr>
          <w:rFonts w:hint="eastAsia"/>
          <w:bCs/>
          <w:sz w:val="24"/>
          <w:szCs w:val="24"/>
        </w:rPr>
        <w:t>1.自然资源清查及确权</w:t>
      </w:r>
    </w:p>
    <w:p>
      <w:pPr>
        <w:adjustRightInd w:val="0"/>
        <w:snapToGrid w:val="0"/>
        <w:spacing w:line="500" w:lineRule="exact"/>
        <w:ind w:firstLine="480" w:firstLineChars="200"/>
        <w:jc w:val="left"/>
        <w:rPr>
          <w:bCs/>
          <w:sz w:val="24"/>
          <w:szCs w:val="24"/>
        </w:rPr>
      </w:pPr>
      <w:r>
        <w:rPr>
          <w:rFonts w:hint="eastAsia"/>
          <w:bCs/>
          <w:sz w:val="24"/>
          <w:szCs w:val="24"/>
        </w:rPr>
        <w:t>（1）自然资源清查。对试点范围内的水流、树木、山岭、草地、荒地、滩涂等自然资源资产进行清查，明确自然资源资产类型、数量和空间分布等。在摸清自然资源实物量的基础上，探索编制自然资源资产负债表。</w:t>
      </w:r>
    </w:p>
    <w:p>
      <w:pPr>
        <w:adjustRightInd w:val="0"/>
        <w:snapToGrid w:val="0"/>
        <w:spacing w:line="500" w:lineRule="exact"/>
        <w:ind w:firstLine="480" w:firstLineChars="200"/>
        <w:jc w:val="left"/>
        <w:rPr>
          <w:bCs/>
          <w:sz w:val="24"/>
          <w:szCs w:val="24"/>
        </w:rPr>
      </w:pPr>
      <w:r>
        <w:rPr>
          <w:rFonts w:hint="eastAsia"/>
          <w:bCs/>
          <w:sz w:val="24"/>
          <w:szCs w:val="24"/>
        </w:rPr>
        <w:t>（2）建立自然资源资产产权制度。依据《自然资源统一确权登记暂行办法)要求开展确权登记工作，清晰界定试点范围内水流、树木、山岭、草地、荒地、滩涂等自然资源资产的所有权主体，划清各类自然资源资产所有权边界，形成白属清晰、权责明确、监管有效的自然资源资产权制度。</w:t>
      </w:r>
    </w:p>
    <w:p>
      <w:pPr>
        <w:adjustRightInd w:val="0"/>
        <w:snapToGrid w:val="0"/>
        <w:spacing w:line="500" w:lineRule="exact"/>
        <w:ind w:firstLine="480" w:firstLineChars="200"/>
        <w:jc w:val="left"/>
        <w:rPr>
          <w:bCs/>
          <w:sz w:val="24"/>
          <w:szCs w:val="24"/>
        </w:rPr>
      </w:pPr>
      <w:r>
        <w:rPr>
          <w:rFonts w:hint="eastAsia"/>
          <w:bCs/>
          <w:sz w:val="24"/>
          <w:szCs w:val="24"/>
        </w:rPr>
        <w:t>2.建立生态价值核外评估应用机制</w:t>
      </w:r>
    </w:p>
    <w:p>
      <w:pPr>
        <w:adjustRightInd w:val="0"/>
        <w:snapToGrid w:val="0"/>
        <w:spacing w:line="500" w:lineRule="exact"/>
        <w:ind w:firstLine="480" w:firstLineChars="200"/>
        <w:jc w:val="left"/>
        <w:rPr>
          <w:bCs/>
          <w:sz w:val="24"/>
          <w:szCs w:val="24"/>
        </w:rPr>
      </w:pPr>
      <w:r>
        <w:rPr>
          <w:rFonts w:hint="eastAsia"/>
          <w:bCs/>
          <w:sz w:val="24"/>
          <w:szCs w:val="24"/>
        </w:rPr>
        <w:t>（1）科学核算生态产品价值。选取试点地区开展生态产品价值核算评估试点，建立评估指标体系，测算办法及技术流程，形成一套生态价值核算评估体系。</w:t>
      </w:r>
    </w:p>
    <w:p>
      <w:pPr>
        <w:adjustRightInd w:val="0"/>
        <w:snapToGrid w:val="0"/>
        <w:spacing w:line="500" w:lineRule="exact"/>
        <w:ind w:firstLine="480" w:firstLineChars="200"/>
        <w:jc w:val="left"/>
        <w:rPr>
          <w:bCs/>
          <w:sz w:val="24"/>
          <w:szCs w:val="24"/>
        </w:rPr>
      </w:pPr>
      <w:r>
        <w:rPr>
          <w:rFonts w:hint="eastAsia"/>
          <w:bCs/>
          <w:sz w:val="24"/>
          <w:szCs w:val="24"/>
        </w:rPr>
        <w:t>（2）探索建立生态产品价值考核体系和手部离任审计制度。探索建立生态产品价值年度目标考核制度，将生态产品价值实现路径试点工作纳入自然资源资产离任审计内容，进步引导处理好经济发展和生态保护的关系。</w:t>
      </w:r>
    </w:p>
    <w:p>
      <w:pPr>
        <w:adjustRightInd w:val="0"/>
        <w:snapToGrid w:val="0"/>
        <w:spacing w:line="500" w:lineRule="exact"/>
        <w:ind w:firstLine="480" w:firstLineChars="200"/>
        <w:jc w:val="left"/>
        <w:rPr>
          <w:bCs/>
          <w:sz w:val="24"/>
          <w:szCs w:val="24"/>
        </w:rPr>
      </w:pPr>
      <w:r>
        <w:rPr>
          <w:rFonts w:hint="eastAsia"/>
          <w:bCs/>
          <w:sz w:val="24"/>
          <w:szCs w:val="24"/>
        </w:rPr>
        <w:t>3.探索生态产品价值实现路径聚焦生态农业、生态旅游业、健康养生业等探索生态产品价值实现路径。</w:t>
      </w:r>
    </w:p>
    <w:p>
      <w:pPr>
        <w:adjustRightInd w:val="0"/>
        <w:snapToGrid w:val="0"/>
        <w:spacing w:line="500" w:lineRule="exact"/>
        <w:ind w:firstLine="480" w:firstLineChars="200"/>
        <w:jc w:val="left"/>
        <w:rPr>
          <w:bCs/>
          <w:sz w:val="24"/>
          <w:szCs w:val="24"/>
        </w:rPr>
      </w:pPr>
      <w:r>
        <w:rPr>
          <w:rFonts w:hint="eastAsia"/>
          <w:bCs/>
          <w:sz w:val="24"/>
          <w:szCs w:val="24"/>
        </w:rPr>
        <w:t>4.初步建立生态产品价值实现制度体系在围绕自然资源资产产权制度改革、金融支持、生态产品政府采购、生态产品价值评估、交易市场培育、生态产品质量认证，绩效评价考核和责任追究等方面，探索形成可复制、可推广的制度体系。</w:t>
      </w:r>
    </w:p>
    <w:p>
      <w:pPr>
        <w:adjustRightInd w:val="0"/>
        <w:snapToGrid w:val="0"/>
        <w:spacing w:line="500" w:lineRule="exact"/>
        <w:ind w:firstLine="482" w:firstLineChars="200"/>
        <w:jc w:val="left"/>
        <w:rPr>
          <w:b/>
          <w:bCs/>
          <w:sz w:val="24"/>
          <w:szCs w:val="24"/>
        </w:rPr>
      </w:pPr>
      <w:r>
        <w:rPr>
          <w:rFonts w:hint="eastAsia"/>
          <w:b/>
          <w:bCs/>
          <w:sz w:val="24"/>
          <w:szCs w:val="24"/>
        </w:rPr>
        <w:t>（三）成果要求</w:t>
      </w:r>
    </w:p>
    <w:p>
      <w:pPr>
        <w:adjustRightInd w:val="0"/>
        <w:snapToGrid w:val="0"/>
        <w:spacing w:line="500" w:lineRule="exact"/>
        <w:ind w:firstLine="480" w:firstLineChars="200"/>
        <w:jc w:val="left"/>
        <w:rPr>
          <w:bCs/>
          <w:sz w:val="24"/>
          <w:szCs w:val="24"/>
        </w:rPr>
      </w:pPr>
      <w:r>
        <w:rPr>
          <w:rFonts w:hint="eastAsia"/>
          <w:bCs/>
          <w:sz w:val="24"/>
          <w:szCs w:val="24"/>
        </w:rPr>
        <w:t>1、阳新县南市村生态产品价值实现路径试点实施方案；</w:t>
      </w:r>
    </w:p>
    <w:p>
      <w:pPr>
        <w:adjustRightInd w:val="0"/>
        <w:snapToGrid w:val="0"/>
        <w:spacing w:line="500" w:lineRule="exact"/>
        <w:ind w:firstLine="480" w:firstLineChars="200"/>
        <w:jc w:val="left"/>
        <w:rPr>
          <w:bCs/>
          <w:sz w:val="24"/>
          <w:szCs w:val="24"/>
        </w:rPr>
      </w:pPr>
      <w:r>
        <w:rPr>
          <w:rFonts w:hint="eastAsia"/>
          <w:bCs/>
          <w:sz w:val="24"/>
          <w:szCs w:val="24"/>
        </w:rPr>
        <w:t>2、编制阳新县南市村自然资源确权实施方案，在此基础上形成自然资源资产实物量和价值量的资产负债表；</w:t>
      </w:r>
    </w:p>
    <w:p>
      <w:pPr>
        <w:adjustRightInd w:val="0"/>
        <w:snapToGrid w:val="0"/>
        <w:spacing w:line="500" w:lineRule="exact"/>
        <w:ind w:firstLine="480" w:firstLineChars="200"/>
        <w:jc w:val="left"/>
        <w:rPr>
          <w:bCs/>
          <w:sz w:val="24"/>
          <w:szCs w:val="24"/>
        </w:rPr>
      </w:pPr>
      <w:r>
        <w:rPr>
          <w:rFonts w:hint="eastAsia"/>
          <w:bCs/>
          <w:sz w:val="24"/>
          <w:szCs w:val="24"/>
        </w:rPr>
        <w:t>3、建立自然资源资产价值评估体系和技术流程，编制生态产品估值报告，为生态补偿、生态交易提供依据；</w:t>
      </w:r>
    </w:p>
    <w:p>
      <w:pPr>
        <w:adjustRightInd w:val="0"/>
        <w:snapToGrid w:val="0"/>
        <w:spacing w:line="500" w:lineRule="exact"/>
        <w:ind w:firstLine="480" w:firstLineChars="200"/>
        <w:jc w:val="left"/>
        <w:rPr>
          <w:bCs/>
          <w:sz w:val="24"/>
          <w:szCs w:val="24"/>
        </w:rPr>
      </w:pPr>
      <w:r>
        <w:rPr>
          <w:rFonts w:hint="eastAsia"/>
          <w:bCs/>
          <w:sz w:val="24"/>
          <w:szCs w:val="24"/>
        </w:rPr>
        <w:t>4、探索生态产品价值实现路径形式；</w:t>
      </w:r>
    </w:p>
    <w:p>
      <w:pPr>
        <w:adjustRightInd w:val="0"/>
        <w:snapToGrid w:val="0"/>
        <w:spacing w:line="500" w:lineRule="exact"/>
        <w:ind w:firstLine="480" w:firstLineChars="200"/>
        <w:jc w:val="left"/>
        <w:rPr>
          <w:bCs/>
          <w:sz w:val="24"/>
          <w:szCs w:val="24"/>
        </w:rPr>
      </w:pPr>
      <w:r>
        <w:rPr>
          <w:rFonts w:hint="eastAsia"/>
          <w:bCs/>
          <w:sz w:val="24"/>
          <w:szCs w:val="24"/>
        </w:rPr>
        <w:t xml:space="preserve">5、生态产品价值实现路径试点工作总结。 </w:t>
      </w:r>
    </w:p>
    <w:p>
      <w:pPr>
        <w:adjustRightInd w:val="0"/>
        <w:snapToGrid w:val="0"/>
        <w:spacing w:line="500" w:lineRule="exact"/>
        <w:ind w:firstLine="480" w:firstLineChars="200"/>
        <w:jc w:val="left"/>
        <w:rPr>
          <w:bCs/>
          <w:sz w:val="24"/>
          <w:szCs w:val="24"/>
        </w:rPr>
      </w:pPr>
      <w:r>
        <w:rPr>
          <w:rFonts w:hint="eastAsia"/>
          <w:bCs/>
          <w:sz w:val="24"/>
          <w:szCs w:val="24"/>
        </w:rPr>
        <w:t>供应商应按磋商文件要求及相关部门的评审意见，进行专题研究报告编制，按合同规定的进度要求提交质量合格的研究成果（纸质版2套），并通过专家论证。</w:t>
      </w:r>
    </w:p>
    <w:p>
      <w:pPr>
        <w:spacing w:line="360" w:lineRule="exact"/>
        <w:ind w:firstLine="703" w:firstLineChars="250"/>
        <w:rPr>
          <w:b/>
          <w:bCs/>
          <w:sz w:val="28"/>
          <w:szCs w:val="28"/>
        </w:rPr>
      </w:pPr>
      <w:r>
        <w:rPr>
          <w:rFonts w:hint="eastAsia"/>
          <w:b/>
          <w:bCs/>
          <w:sz w:val="28"/>
          <w:szCs w:val="28"/>
        </w:rPr>
        <w:t>三：合同草案：</w:t>
      </w:r>
    </w:p>
    <w:p>
      <w:pPr>
        <w:spacing w:line="360" w:lineRule="exact"/>
        <w:jc w:val="left"/>
        <w:rPr>
          <w:sz w:val="24"/>
          <w:szCs w:val="24"/>
        </w:rPr>
      </w:pPr>
      <w:r>
        <w:rPr>
          <w:rFonts w:hint="eastAsia"/>
          <w:sz w:val="24"/>
          <w:szCs w:val="24"/>
        </w:rPr>
        <w:t>说明：投标人在投标文件《合同草案条款响应、偏离情况说明表》中应对以下逐条商务要求进行响应描述或偏离说明。不满足以上要求的，其投标按照无效投标处理。</w:t>
      </w:r>
    </w:p>
    <w:p>
      <w:pPr>
        <w:spacing w:line="360" w:lineRule="exact"/>
        <w:ind w:firstLine="600" w:firstLineChars="250"/>
        <w:rPr>
          <w:color w:val="FF0000"/>
          <w:sz w:val="24"/>
          <w:szCs w:val="24"/>
        </w:rPr>
      </w:pPr>
      <w:r>
        <w:rPr>
          <w:rFonts w:hint="eastAsia"/>
          <w:color w:val="FF0000"/>
          <w:sz w:val="24"/>
          <w:szCs w:val="24"/>
        </w:rPr>
        <w:t xml:space="preserve">1.交付期限：合同签订后10个月   </w:t>
      </w:r>
    </w:p>
    <w:p>
      <w:pPr>
        <w:spacing w:line="360" w:lineRule="exact"/>
        <w:ind w:firstLine="600" w:firstLineChars="250"/>
        <w:jc w:val="left"/>
        <w:rPr>
          <w:color w:val="FF0000"/>
          <w:sz w:val="24"/>
          <w:szCs w:val="24"/>
        </w:rPr>
      </w:pPr>
      <w:r>
        <w:rPr>
          <w:rFonts w:hint="eastAsia"/>
          <w:color w:val="FF0000"/>
          <w:sz w:val="24"/>
          <w:szCs w:val="24"/>
        </w:rPr>
        <w:t>2.报价方式：该项目报价为总干报价，报价不得超过预算价。</w:t>
      </w:r>
    </w:p>
    <w:p>
      <w:pPr>
        <w:adjustRightInd w:val="0"/>
        <w:snapToGrid w:val="0"/>
        <w:spacing w:line="500" w:lineRule="exact"/>
        <w:ind w:firstLine="600" w:firstLineChars="250"/>
        <w:jc w:val="left"/>
        <w:rPr>
          <w:color w:val="FF0000"/>
          <w:sz w:val="24"/>
          <w:szCs w:val="24"/>
        </w:rPr>
      </w:pPr>
      <w:r>
        <w:rPr>
          <w:rFonts w:hint="eastAsia"/>
          <w:color w:val="FF0000"/>
          <w:sz w:val="24"/>
          <w:szCs w:val="24"/>
        </w:rPr>
        <w:t>3.付款方式：</w:t>
      </w:r>
    </w:p>
    <w:p>
      <w:pPr>
        <w:adjustRightInd w:val="0"/>
        <w:snapToGrid w:val="0"/>
        <w:spacing w:line="500" w:lineRule="exact"/>
        <w:ind w:firstLine="480" w:firstLineChars="200"/>
        <w:jc w:val="left"/>
        <w:rPr>
          <w:bCs/>
          <w:color w:val="FF0000"/>
          <w:sz w:val="24"/>
          <w:szCs w:val="24"/>
        </w:rPr>
      </w:pPr>
      <w:r>
        <w:rPr>
          <w:rFonts w:hint="eastAsia"/>
          <w:bCs/>
          <w:color w:val="FF0000"/>
          <w:sz w:val="24"/>
          <w:szCs w:val="24"/>
        </w:rPr>
        <w:t>1）、双方合同签订后并完成《阳新县南市村生态产品价值实现路径试点调研报告》后，甲方支付乙方合同价款的40%;</w:t>
      </w:r>
    </w:p>
    <w:p>
      <w:pPr>
        <w:spacing w:line="360" w:lineRule="exact"/>
        <w:ind w:firstLine="480" w:firstLineChars="200"/>
        <w:jc w:val="left"/>
        <w:rPr>
          <w:bCs/>
          <w:color w:val="FF0000"/>
          <w:sz w:val="24"/>
          <w:szCs w:val="24"/>
        </w:rPr>
      </w:pPr>
      <w:r>
        <w:rPr>
          <w:rFonts w:hint="eastAsia"/>
          <w:bCs/>
          <w:color w:val="FF0000"/>
          <w:sz w:val="24"/>
          <w:szCs w:val="24"/>
        </w:rPr>
        <w:t>2）、《阳新县南市村生态产品价值实现路径试点编制专题研究报告》通过专家论证10日内，甲方支付乙方合同价款的40%。</w:t>
      </w:r>
    </w:p>
    <w:p>
      <w:pPr>
        <w:pStyle w:val="2"/>
        <w:rPr>
          <w:bCs/>
          <w:color w:val="FF0000"/>
          <w:szCs w:val="24"/>
        </w:rPr>
        <w:sectPr>
          <w:pgSz w:w="11906" w:h="16838"/>
          <w:pgMar w:top="1440" w:right="1800" w:bottom="1440" w:left="1800" w:header="851" w:footer="992" w:gutter="0"/>
          <w:cols w:space="720" w:num="1"/>
          <w:docGrid w:type="lines" w:linePitch="312" w:charSpace="0"/>
        </w:sectPr>
      </w:pPr>
      <w:r>
        <w:rPr>
          <w:rFonts w:hint="eastAsia"/>
          <w:bCs/>
          <w:color w:val="FF0000"/>
          <w:szCs w:val="24"/>
        </w:rPr>
        <w:t>3）余款20%，待成果提交省厅通过后再支付。</w:t>
      </w:r>
    </w:p>
    <w:p>
      <w:pPr>
        <w:adjustRightInd w:val="0"/>
        <w:snapToGrid w:val="0"/>
        <w:spacing w:line="360" w:lineRule="auto"/>
        <w:jc w:val="center"/>
        <w:rPr>
          <w:rFonts w:ascii="Times New Roman" w:hAnsi="Times New Roman" w:cs="Times New Roman"/>
          <w:b/>
          <w:sz w:val="36"/>
          <w:szCs w:val="36"/>
        </w:rPr>
      </w:pPr>
      <w:r>
        <w:rPr>
          <w:rFonts w:hint="eastAsia"/>
          <w:color w:val="000000"/>
          <w:sz w:val="24"/>
          <w:szCs w:val="24"/>
        </w:rPr>
        <w:t>.</w:t>
      </w:r>
      <w:r>
        <w:rPr>
          <w:rFonts w:ascii="Times New Roman" w:hAnsi="Times New Roman" w:cs="Times New Roman"/>
          <w:b/>
          <w:sz w:val="36"/>
          <w:szCs w:val="36"/>
        </w:rPr>
        <w:t>第四章  评审办法及评分标准</w:t>
      </w:r>
    </w:p>
    <w:p>
      <w:pPr>
        <w:spacing w:line="520" w:lineRule="exact"/>
        <w:ind w:left="420" w:leftChars="200" w:firstLine="120" w:firstLineChars="50"/>
        <w:rPr>
          <w:rFonts w:ascii="宋体" w:hAnsi="宋体"/>
          <w:bCs/>
          <w:sz w:val="24"/>
        </w:rPr>
      </w:pPr>
      <w:r>
        <w:rPr>
          <w:rFonts w:hint="eastAsia" w:ascii="宋体" w:hAnsi="宋体"/>
          <w:bCs/>
          <w:sz w:val="24"/>
        </w:rPr>
        <w:t>磋商小组将按以下工作程序进行评标：</w:t>
      </w:r>
    </w:p>
    <w:p>
      <w:pPr>
        <w:spacing w:line="360" w:lineRule="auto"/>
        <w:ind w:firstLine="482" w:firstLineChars="200"/>
        <w:rPr>
          <w:rFonts w:ascii="宋体" w:hAnsi="宋体"/>
          <w:b/>
          <w:bCs/>
          <w:sz w:val="24"/>
        </w:rPr>
      </w:pPr>
      <w:r>
        <w:rPr>
          <w:rFonts w:hint="eastAsia" w:ascii="宋体" w:hAnsi="宋体"/>
          <w:b/>
          <w:bCs/>
          <w:sz w:val="24"/>
        </w:rPr>
        <w:t>一、响应文件初审：</w:t>
      </w:r>
    </w:p>
    <w:p>
      <w:pPr>
        <w:spacing w:line="360" w:lineRule="auto"/>
        <w:ind w:firstLine="480" w:firstLineChars="200"/>
        <w:rPr>
          <w:rFonts w:ascii="宋体" w:hAnsi="宋体"/>
          <w:sz w:val="24"/>
        </w:rPr>
      </w:pPr>
      <w:r>
        <w:rPr>
          <w:rFonts w:hint="eastAsia" w:ascii="宋体" w:hAnsi="宋体"/>
          <w:sz w:val="24"/>
        </w:rPr>
        <w:t>初审分为资格审查和符合性审查。</w:t>
      </w:r>
    </w:p>
    <w:p>
      <w:pPr>
        <w:spacing w:line="360" w:lineRule="auto"/>
        <w:ind w:firstLine="480" w:firstLineChars="200"/>
        <w:rPr>
          <w:rFonts w:ascii="宋体" w:hAnsi="宋体"/>
          <w:sz w:val="24"/>
        </w:rPr>
      </w:pPr>
      <w:r>
        <w:rPr>
          <w:rFonts w:hint="eastAsia" w:ascii="宋体" w:hAnsi="宋体"/>
          <w:sz w:val="24"/>
        </w:rPr>
        <w:t>1.1资格审查：依据法律法规和竞争性磋商文件的规定，对供应商递交的资格审查资料进行审查，以确定供应商是否具备投标资格。资格审查时，出现不符合磋商文件中“资格审查标准”条款的，或所递交的资格证明文件不足以证明其符合磋商文件中“资格审查标准”条款的，将按照无效投标处理。</w:t>
      </w:r>
    </w:p>
    <w:p>
      <w:pPr>
        <w:shd w:val="clear" w:color="auto" w:fill="FFFFFF"/>
        <w:spacing w:line="500" w:lineRule="exact"/>
        <w:ind w:firstLine="480" w:firstLineChars="200"/>
        <w:rPr>
          <w:rFonts w:ascii="宋体" w:hAnsi="宋体"/>
          <w:sz w:val="24"/>
        </w:rPr>
      </w:pPr>
      <w:r>
        <w:rPr>
          <w:rFonts w:hint="eastAsia" w:ascii="宋体" w:hAnsi="宋体"/>
          <w:sz w:val="24"/>
        </w:rPr>
        <w:t>1.2符合性审查：依据磋商文件的规定，从响应文件的有效性、完整性和对磋商文件的响应程度进行审查，以确定是否对磋商文件的实质性要求做出响应。符合性审查时，出现不符合磋商文件中“符合性审查标准”条款的将按照无效投标处理。</w:t>
      </w:r>
    </w:p>
    <w:tbl>
      <w:tblPr>
        <w:tblStyle w:val="10"/>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2551"/>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rPr>
            </w:pPr>
            <w:r>
              <w:rPr>
                <w:rFonts w:hint="eastAsia" w:ascii="宋体" w:hAnsi="宋体" w:cs="宋体"/>
                <w:bCs/>
                <w:kern w:val="0"/>
                <w:sz w:val="24"/>
              </w:rPr>
              <w:t>评审因素</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rPr>
            </w:pPr>
            <w:r>
              <w:rPr>
                <w:rFonts w:hint="eastAsia" w:ascii="宋体" w:hAnsi="宋体" w:cs="宋体"/>
                <w:bCs/>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19" w:type="dxa"/>
            <w:vMerge w:val="restart"/>
            <w:tcBorders>
              <w:left w:val="single" w:color="auto" w:sz="4" w:space="0"/>
              <w:right w:val="single" w:color="auto" w:sz="4" w:space="0"/>
            </w:tcBorders>
            <w:vAlign w:val="center"/>
          </w:tcPr>
          <w:p>
            <w:pPr>
              <w:widowControl/>
              <w:spacing w:line="240" w:lineRule="exact"/>
              <w:jc w:val="center"/>
              <w:rPr>
                <w:rFonts w:ascii="宋体" w:hAnsi="宋体" w:cs="宋体"/>
                <w:bCs/>
                <w:kern w:val="0"/>
                <w:sz w:val="24"/>
              </w:rPr>
            </w:pPr>
            <w:r>
              <w:rPr>
                <w:rFonts w:hint="eastAsia" w:ascii="宋体" w:hAnsi="宋体" w:cs="宋体"/>
                <w:bCs/>
                <w:kern w:val="0"/>
                <w:sz w:val="24"/>
              </w:rPr>
              <w:t>资格审查标准</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Cs w:val="21"/>
              </w:rPr>
            </w:pPr>
            <w:r>
              <w:rPr>
                <w:rFonts w:hint="eastAsia"/>
                <w:szCs w:val="21"/>
              </w:rPr>
              <w:t>法人或者其他组织的营业执照等证明文件，如供应商是自然人的提供身份证明材料。</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szCs w:val="21"/>
              </w:rPr>
            </w:pPr>
            <w:r>
              <w:rPr>
                <w:rFonts w:ascii="宋体" w:hAnsi="宋体" w:eastAsia="宋体"/>
                <w:color w:val="000000"/>
                <w:szCs w:val="21"/>
              </w:rPr>
              <w:t>如供应商是企业</w:t>
            </w:r>
            <w:r>
              <w:rPr>
                <w:rFonts w:hint="eastAsia" w:ascii="宋体" w:hAnsi="宋体" w:eastAsia="宋体"/>
                <w:color w:val="000000"/>
                <w:szCs w:val="21"/>
              </w:rPr>
              <w:t>，</w:t>
            </w:r>
            <w:r>
              <w:rPr>
                <w:rFonts w:ascii="宋体" w:hAnsi="宋体" w:eastAsia="宋体"/>
                <w:color w:val="000000"/>
                <w:szCs w:val="21"/>
              </w:rPr>
              <w:t>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1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bCs/>
                <w:kern w:val="0"/>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财务状况</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szCs w:val="21"/>
              </w:rPr>
            </w:pPr>
            <w:r>
              <w:rPr>
                <w:rFonts w:hint="eastAsia" w:ascii="宋体" w:hAnsi="宋体" w:eastAsia="宋体" w:cs="宋体"/>
                <w:szCs w:val="21"/>
              </w:rPr>
              <w:t>供应商须提供企业2019年的财务报告（新成立的公司自成立之日起按实际年度提供）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1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bCs/>
                <w:kern w:val="0"/>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完税及社保证明</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szCs w:val="21"/>
              </w:rPr>
            </w:pPr>
            <w:r>
              <w:rPr>
                <w:rFonts w:hint="eastAsia" w:ascii="宋体" w:hAnsi="宋体" w:cs="宋体"/>
                <w:szCs w:val="21"/>
              </w:rPr>
              <w:t>响应截止时间前近三个月的，供应商依法缴纳税收（完税证明）和缴纳企业人员社会保障资金（缴费凭证）的相关材料；（根据国家相关政策免缴或迟缴的需提供相关证明材料）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1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bCs/>
                <w:kern w:val="0"/>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Cs w:val="21"/>
              </w:rPr>
            </w:pPr>
            <w:r>
              <w:rPr>
                <w:rFonts w:hint="eastAsia" w:ascii="宋体" w:hAnsi="宋体"/>
                <w:bCs/>
                <w:szCs w:val="21"/>
              </w:rPr>
              <w:t>履行合同所必需的设备和专业技术能力</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szCs w:val="21"/>
              </w:rPr>
            </w:pPr>
            <w:r>
              <w:rPr>
                <w:rFonts w:hint="eastAsia" w:ascii="宋体" w:hAnsi="宋体"/>
                <w:bCs/>
                <w:szCs w:val="21"/>
              </w:rPr>
              <w:t>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41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bCs/>
                <w:kern w:val="0"/>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bCs/>
                <w:szCs w:val="21"/>
              </w:rPr>
            </w:pPr>
            <w:r>
              <w:rPr>
                <w:rFonts w:hint="eastAsia" w:ascii="宋体" w:hAnsi="宋体"/>
                <w:bCs/>
                <w:szCs w:val="21"/>
              </w:rPr>
              <w:t>无重大违法</w:t>
            </w:r>
          </w:p>
          <w:p>
            <w:pPr>
              <w:widowControl/>
              <w:spacing w:line="240" w:lineRule="exact"/>
              <w:jc w:val="center"/>
              <w:rPr>
                <w:rFonts w:ascii="宋体" w:hAnsi="宋体" w:cs="宋体"/>
                <w:bCs/>
                <w:kern w:val="0"/>
                <w:szCs w:val="21"/>
              </w:rPr>
            </w:pPr>
            <w:r>
              <w:rPr>
                <w:rFonts w:hint="eastAsia" w:ascii="宋体" w:hAnsi="宋体"/>
                <w:bCs/>
                <w:szCs w:val="21"/>
              </w:rPr>
              <w:t>记录书面声明</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kern w:val="0"/>
                <w:szCs w:val="21"/>
              </w:rPr>
            </w:pPr>
            <w:r>
              <w:rPr>
                <w:rFonts w:hint="eastAsia" w:ascii="宋体" w:hAnsi="宋体" w:cs="宋体"/>
                <w:szCs w:val="21"/>
              </w:rPr>
              <w:t>供应商在参加本次采购活动前三年内，在经营活动中没有重大违法记录（是指因违法经营受到刑事处罚或责令停产停业、吊销许可证或执照、较大数额罚款等行政处罚）的书面声明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19" w:type="dxa"/>
            <w:vMerge w:val="continue"/>
            <w:tcBorders>
              <w:left w:val="single" w:color="auto" w:sz="4" w:space="0"/>
              <w:right w:val="single" w:color="auto" w:sz="4" w:space="0"/>
            </w:tcBorders>
            <w:vAlign w:val="center"/>
          </w:tcPr>
          <w:p>
            <w:pPr>
              <w:rPr>
                <w:bCs/>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cs="宋体"/>
                <w:szCs w:val="21"/>
              </w:rPr>
              <w:t>未在被禁止参加政府采购活动期限内的书面声明</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szCs w:val="21"/>
              </w:rPr>
            </w:pPr>
            <w:r>
              <w:rPr>
                <w:rFonts w:hint="eastAsia" w:ascii="宋体" w:hAnsi="宋体" w:cs="宋体"/>
                <w:szCs w:val="21"/>
              </w:rPr>
              <w:t>参与本次采购活动期间未在被禁止参加政府采购活动期限内的书面声明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19" w:type="dxa"/>
            <w:vMerge w:val="continue"/>
            <w:tcBorders>
              <w:left w:val="single" w:color="auto" w:sz="4" w:space="0"/>
              <w:right w:val="single" w:color="auto" w:sz="4" w:space="0"/>
            </w:tcBorders>
            <w:vAlign w:val="center"/>
          </w:tcPr>
          <w:p>
            <w:pPr>
              <w:rPr>
                <w:bCs/>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具备法律、行政法规规定的其他条件的证明材料。</w:t>
            </w:r>
          </w:p>
        </w:tc>
        <w:tc>
          <w:tcPr>
            <w:tcW w:w="5812" w:type="dxa"/>
            <w:tcBorders>
              <w:top w:val="single" w:color="auto" w:sz="4" w:space="0"/>
              <w:left w:val="single" w:color="auto" w:sz="4" w:space="0"/>
              <w:bottom w:val="single" w:color="auto" w:sz="4" w:space="0"/>
              <w:right w:val="single" w:color="auto" w:sz="4" w:space="0"/>
            </w:tcBorders>
            <w:vAlign w:val="center"/>
          </w:tcPr>
          <w:p>
            <w:pPr>
              <w:jc w:val="left"/>
              <w:rPr>
                <w:rFonts w:eastAsia="宋体"/>
                <w:szCs w:val="21"/>
              </w:rPr>
            </w:pPr>
            <w:r>
              <w:rPr>
                <w:rFonts w:ascii="宋体" w:hAnsi="宋体" w:eastAsia="宋体"/>
                <w:color w:val="000000"/>
                <w:szCs w:val="21"/>
              </w:rPr>
              <w:t>具备法律、行政法规规定的其他条件的证明材料</w:t>
            </w:r>
            <w:r>
              <w:rPr>
                <w:rFonts w:hint="eastAsia" w:ascii="宋体" w:hAnsi="宋体" w:eastAsia="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19" w:type="dxa"/>
            <w:vMerge w:val="continue"/>
            <w:tcBorders>
              <w:left w:val="single" w:color="auto" w:sz="4" w:space="0"/>
              <w:right w:val="single" w:color="auto" w:sz="4" w:space="0"/>
            </w:tcBorders>
            <w:vAlign w:val="center"/>
          </w:tcPr>
          <w:p>
            <w:pPr>
              <w:rPr>
                <w:bCs/>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Cs w:val="21"/>
              </w:rPr>
            </w:pPr>
            <w:r>
              <w:rPr>
                <w:rFonts w:hint="eastAsia" w:ascii="宋体" w:hAnsi="宋体"/>
                <w:bCs/>
                <w:szCs w:val="21"/>
              </w:rPr>
              <w:t>未被列入 “信用中国”网站（www.creditchina.gov.cn）失信被执行人、重大税收违法案件当事人名单、政府采购严重违法失信行为记录名单。</w:t>
            </w:r>
          </w:p>
        </w:tc>
        <w:tc>
          <w:tcPr>
            <w:tcW w:w="5812" w:type="dxa"/>
            <w:tcBorders>
              <w:top w:val="single" w:color="auto" w:sz="4" w:space="0"/>
              <w:left w:val="single" w:color="auto" w:sz="4" w:space="0"/>
              <w:bottom w:val="single" w:color="auto" w:sz="4" w:space="0"/>
              <w:right w:val="single" w:color="auto" w:sz="4" w:space="0"/>
            </w:tcBorders>
            <w:vAlign w:val="center"/>
          </w:tcPr>
          <w:p>
            <w:pPr>
              <w:pStyle w:val="3"/>
              <w:spacing w:line="300" w:lineRule="exact"/>
              <w:rPr>
                <w:rFonts w:ascii="宋体" w:hAnsi="宋体" w:cs="宋体"/>
                <w:bCs/>
                <w:kern w:val="0"/>
                <w:szCs w:val="21"/>
              </w:rPr>
            </w:pPr>
            <w:r>
              <w:rPr>
                <w:rFonts w:hint="eastAsia"/>
                <w:szCs w:val="21"/>
              </w:rPr>
              <w:t>提供未被列入 “信用中国”网站（www.creditchina.gov.cn）失信被执行人、重大税收违法案件当事人名单、政府采购严重违法失信行为记录名单的网页截图</w:t>
            </w:r>
            <w:r>
              <w:rPr>
                <w:rFonts w:hint="eastAsia" w:ascii="宋体" w:hAnsi="宋体"/>
                <w:b/>
                <w:szCs w:val="21"/>
              </w:rPr>
              <w:t>（截图加盖公章，截图日期在本公告发布日之后）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19" w:type="dxa"/>
            <w:vMerge w:val="continue"/>
            <w:tcBorders>
              <w:left w:val="single" w:color="auto" w:sz="4" w:space="0"/>
              <w:right w:val="single" w:color="auto" w:sz="4" w:space="0"/>
            </w:tcBorders>
            <w:vAlign w:val="center"/>
          </w:tcPr>
          <w:p>
            <w:pPr>
              <w:rPr>
                <w:bCs/>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rPr>
                <w:rFonts w:eastAsia="宋体"/>
                <w:szCs w:val="21"/>
              </w:rPr>
            </w:pPr>
            <w:r>
              <w:rPr>
                <w:rFonts w:hint="eastAsia"/>
                <w:szCs w:val="21"/>
              </w:rPr>
              <w:t>特定条件：详见采购公告 </w:t>
            </w:r>
          </w:p>
        </w:tc>
        <w:tc>
          <w:tcPr>
            <w:tcW w:w="581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由供应商提供证明材料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19" w:type="dxa"/>
            <w:vMerge w:val="restart"/>
            <w:tcBorders>
              <w:left w:val="single" w:color="auto" w:sz="4" w:space="0"/>
              <w:right w:val="single" w:color="auto" w:sz="4" w:space="0"/>
            </w:tcBorders>
            <w:vAlign w:val="center"/>
          </w:tcPr>
          <w:p>
            <w:pPr>
              <w:widowControl/>
              <w:spacing w:line="240" w:lineRule="exact"/>
              <w:jc w:val="center"/>
              <w:rPr>
                <w:rFonts w:ascii="宋体" w:hAnsi="宋体" w:cs="宋体"/>
                <w:bCs/>
                <w:kern w:val="0"/>
                <w:sz w:val="24"/>
              </w:rPr>
            </w:pPr>
            <w:r>
              <w:rPr>
                <w:rFonts w:hint="eastAsia" w:ascii="宋体" w:hAnsi="宋体" w:cs="宋体"/>
                <w:bCs/>
                <w:kern w:val="0"/>
                <w:sz w:val="24"/>
              </w:rPr>
              <w:t>符合性审查标准</w:t>
            </w:r>
          </w:p>
          <w:p>
            <w:pPr>
              <w:widowControl/>
              <w:spacing w:line="240" w:lineRule="exact"/>
              <w:jc w:val="center"/>
              <w:rPr>
                <w:rFonts w:ascii="宋体" w:hAnsi="宋体" w:cs="宋体"/>
                <w:bCs/>
                <w:kern w:val="0"/>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szCs w:val="21"/>
              </w:rPr>
            </w:pPr>
            <w:r>
              <w:rPr>
                <w:rFonts w:hint="eastAsia" w:ascii="宋体" w:hAnsi="宋体"/>
                <w:bCs/>
                <w:szCs w:val="21"/>
              </w:rPr>
              <w:t>有效身份证明</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szCs w:val="21"/>
              </w:rPr>
            </w:pPr>
            <w:r>
              <w:rPr>
                <w:rFonts w:hint="eastAsia" w:ascii="宋体" w:hAnsi="宋体"/>
                <w:szCs w:val="21"/>
              </w:rPr>
              <w:t>提供《法定代表人身份证明书》或者《法定代表人授权委托书》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1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bCs/>
                <w:kern w:val="0"/>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bCs/>
                <w:szCs w:val="21"/>
              </w:rPr>
            </w:pPr>
            <w:r>
              <w:rPr>
                <w:rFonts w:hint="eastAsia" w:ascii="宋体" w:hAnsi="宋体"/>
                <w:bCs/>
                <w:szCs w:val="21"/>
              </w:rPr>
              <w:t>竞争性磋商响应文件密封、签注、盖章</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szCs w:val="21"/>
              </w:rPr>
            </w:pPr>
            <w:r>
              <w:rPr>
                <w:rFonts w:hint="eastAsia" w:ascii="宋体" w:hAnsi="宋体"/>
                <w:bCs/>
                <w:szCs w:val="21"/>
              </w:rPr>
              <w:t>按照磋商文件规定要求密封、签署、盖章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bCs/>
                <w:kern w:val="0"/>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投标报价</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kern w:val="0"/>
                <w:szCs w:val="21"/>
              </w:rPr>
            </w:pPr>
            <w:r>
              <w:rPr>
                <w:rFonts w:hint="eastAsia" w:ascii="宋体" w:hAnsi="宋体" w:cs="宋体"/>
                <w:bCs/>
                <w:kern w:val="0"/>
                <w:szCs w:val="21"/>
              </w:rPr>
              <w:t>供应商只有一个报价，投标金额未超过采购预算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9" w:type="dxa"/>
            <w:vMerge w:val="continue"/>
            <w:tcBorders>
              <w:left w:val="single" w:color="auto" w:sz="4" w:space="0"/>
              <w:right w:val="single" w:color="auto" w:sz="4" w:space="0"/>
            </w:tcBorders>
            <w:vAlign w:val="center"/>
          </w:tcPr>
          <w:p>
            <w:pPr>
              <w:rPr>
                <w:bCs/>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投标有效期</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kern w:val="0"/>
                <w:szCs w:val="21"/>
              </w:rPr>
            </w:pPr>
            <w:r>
              <w:rPr>
                <w:rFonts w:hint="eastAsia" w:ascii="宋体" w:hAnsi="宋体" w:cs="宋体"/>
                <w:bCs/>
                <w:kern w:val="0"/>
                <w:szCs w:val="21"/>
              </w:rPr>
              <w:t>投标有效期满足磋商文件要求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9" w:type="dxa"/>
            <w:vMerge w:val="continue"/>
            <w:tcBorders>
              <w:left w:val="single" w:color="auto" w:sz="4" w:space="0"/>
              <w:right w:val="single" w:color="auto" w:sz="4" w:space="0"/>
            </w:tcBorders>
            <w:vAlign w:val="center"/>
          </w:tcPr>
          <w:p>
            <w:pPr>
              <w:rPr>
                <w:bCs/>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pStyle w:val="3"/>
              <w:jc w:val="center"/>
              <w:rPr>
                <w:rFonts w:ascii="宋体" w:hAnsi="宋体" w:cs="宋体"/>
                <w:bCs/>
                <w:kern w:val="0"/>
                <w:szCs w:val="21"/>
              </w:rPr>
            </w:pPr>
            <w:r>
              <w:rPr>
                <w:rFonts w:hint="eastAsia" w:ascii="宋体" w:hAnsi="宋体"/>
                <w:bCs/>
                <w:szCs w:val="21"/>
              </w:rPr>
              <w:t>服务周期</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kern w:val="0"/>
                <w:szCs w:val="21"/>
              </w:rPr>
            </w:pPr>
            <w:r>
              <w:rPr>
                <w:rFonts w:hint="eastAsia" w:ascii="宋体" w:hAnsi="宋体" w:cs="宋体"/>
                <w:bCs/>
                <w:kern w:val="0"/>
                <w:szCs w:val="21"/>
              </w:rPr>
              <w:t>符合磋商文件中的相关规定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19" w:type="dxa"/>
            <w:vMerge w:val="continue"/>
            <w:tcBorders>
              <w:left w:val="single" w:color="auto" w:sz="4" w:space="0"/>
              <w:right w:val="single" w:color="auto" w:sz="4" w:space="0"/>
            </w:tcBorders>
            <w:vAlign w:val="center"/>
          </w:tcPr>
          <w:p>
            <w:pPr>
              <w:rPr>
                <w:bCs/>
                <w:sz w:val="24"/>
              </w:rPr>
            </w:pPr>
          </w:p>
        </w:tc>
        <w:tc>
          <w:tcPr>
            <w:tcW w:w="2551"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技术响应</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kern w:val="0"/>
                <w:szCs w:val="21"/>
              </w:rPr>
            </w:pPr>
            <w:r>
              <w:rPr>
                <w:rFonts w:hint="eastAsia" w:ascii="宋体" w:hAnsi="宋体" w:cs="宋体"/>
                <w:bCs/>
                <w:kern w:val="0"/>
                <w:szCs w:val="21"/>
              </w:rPr>
              <w:t>竞争性磋商响应文件中没有存在不符合磋商文件的技术要求和提供虚假信息应标的</w:t>
            </w:r>
          </w:p>
        </w:tc>
      </w:tr>
    </w:tbl>
    <w:p>
      <w:pPr>
        <w:pStyle w:val="2"/>
        <w:spacing w:before="240"/>
        <w:ind w:firstLine="482"/>
        <w:rPr>
          <w:b/>
        </w:rPr>
      </w:pPr>
      <w:r>
        <w:rPr>
          <w:rFonts w:hint="eastAsia"/>
          <w:b/>
        </w:rPr>
        <w:t>二、评审标准</w:t>
      </w:r>
    </w:p>
    <w:tbl>
      <w:tblPr>
        <w:tblStyle w:val="10"/>
        <w:tblW w:w="100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3"/>
        <w:gridCol w:w="1275"/>
        <w:gridCol w:w="6778"/>
        <w:gridCol w:w="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2578" w:type="dxa"/>
            <w:gridSpan w:val="2"/>
            <w:tcBorders>
              <w:top w:val="single" w:color="auto" w:sz="4" w:space="0"/>
              <w:left w:val="single" w:color="auto" w:sz="4" w:space="0"/>
              <w:bottom w:val="single" w:color="auto" w:sz="4" w:space="0"/>
              <w:right w:val="single" w:color="auto" w:sz="4" w:space="0"/>
            </w:tcBorders>
          </w:tcPr>
          <w:p>
            <w:pPr>
              <w:pStyle w:val="34"/>
              <w:jc w:val="center"/>
              <w:rPr>
                <w:rFonts w:ascii="宋体" w:hAnsi="宋体"/>
                <w:b/>
                <w:color w:val="000000"/>
                <w:sz w:val="24"/>
              </w:rPr>
            </w:pPr>
            <w:r>
              <w:rPr>
                <w:rFonts w:hint="eastAsia" w:ascii="宋体" w:hAnsi="宋体"/>
                <w:b/>
                <w:color w:val="000000"/>
                <w:sz w:val="24"/>
              </w:rPr>
              <w:t>条款内容</w:t>
            </w:r>
          </w:p>
        </w:tc>
        <w:tc>
          <w:tcPr>
            <w:tcW w:w="7487" w:type="dxa"/>
            <w:gridSpan w:val="2"/>
            <w:tcBorders>
              <w:top w:val="single" w:color="auto" w:sz="4" w:space="0"/>
              <w:left w:val="single" w:color="auto" w:sz="4" w:space="0"/>
              <w:bottom w:val="single" w:color="auto" w:sz="4" w:space="0"/>
              <w:right w:val="single" w:color="auto" w:sz="4" w:space="0"/>
            </w:tcBorders>
            <w:vAlign w:val="center"/>
          </w:tcPr>
          <w:p>
            <w:pPr>
              <w:pStyle w:val="34"/>
              <w:jc w:val="center"/>
              <w:rPr>
                <w:rFonts w:ascii="宋体" w:hAnsi="宋体"/>
                <w:b/>
                <w:color w:val="000000"/>
                <w:sz w:val="24"/>
              </w:rPr>
            </w:pPr>
            <w:r>
              <w:rPr>
                <w:rFonts w:hint="eastAsia" w:ascii="宋体" w:hAnsi="宋体"/>
                <w:b/>
                <w:color w:val="000000"/>
                <w:sz w:val="24"/>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78" w:type="dxa"/>
            <w:gridSpan w:val="2"/>
            <w:tcBorders>
              <w:top w:val="single" w:color="auto" w:sz="4" w:space="0"/>
              <w:left w:val="single" w:color="auto" w:sz="4" w:space="0"/>
              <w:bottom w:val="single" w:color="auto" w:sz="4" w:space="0"/>
              <w:right w:val="single" w:color="auto" w:sz="4" w:space="0"/>
            </w:tcBorders>
          </w:tcPr>
          <w:p>
            <w:pPr>
              <w:pStyle w:val="34"/>
              <w:jc w:val="center"/>
              <w:rPr>
                <w:sz w:val="24"/>
              </w:rPr>
            </w:pPr>
            <w:r>
              <w:rPr>
                <w:rFonts w:hint="eastAsia"/>
                <w:sz w:val="24"/>
              </w:rPr>
              <w:t>分值构成</w:t>
            </w:r>
          </w:p>
          <w:p>
            <w:pPr>
              <w:pStyle w:val="34"/>
              <w:jc w:val="center"/>
              <w:rPr>
                <w:sz w:val="24"/>
              </w:rPr>
            </w:pPr>
            <w:r>
              <w:rPr>
                <w:rFonts w:hint="eastAsia"/>
                <w:sz w:val="24"/>
              </w:rPr>
              <w:t>(总分100分)</w:t>
            </w:r>
          </w:p>
        </w:tc>
        <w:tc>
          <w:tcPr>
            <w:tcW w:w="7487" w:type="dxa"/>
            <w:gridSpan w:val="2"/>
            <w:tcBorders>
              <w:top w:val="single" w:color="auto" w:sz="4" w:space="0"/>
              <w:left w:val="single" w:color="auto" w:sz="4" w:space="0"/>
              <w:bottom w:val="single" w:color="auto" w:sz="4" w:space="0"/>
              <w:right w:val="single" w:color="auto" w:sz="4" w:space="0"/>
            </w:tcBorders>
            <w:vAlign w:val="center"/>
          </w:tcPr>
          <w:p>
            <w:pPr>
              <w:pStyle w:val="34"/>
              <w:rPr>
                <w:sz w:val="24"/>
              </w:rPr>
            </w:pPr>
            <w:r>
              <w:rPr>
                <w:rFonts w:hint="eastAsia"/>
                <w:sz w:val="24"/>
              </w:rPr>
              <w:t>价格评审：10分   商务评审：35分   技术评审：55分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3" w:type="dxa"/>
            <w:shd w:val="clear" w:color="auto" w:fill="auto"/>
            <w:noWrap/>
            <w:vAlign w:val="center"/>
          </w:tcPr>
          <w:p>
            <w:pPr>
              <w:widowControl/>
              <w:jc w:val="left"/>
              <w:rPr>
                <w:rFonts w:ascii="宋体" w:hAnsi="宋体"/>
                <w:color w:val="000000"/>
                <w:sz w:val="24"/>
              </w:rPr>
            </w:pPr>
            <w:r>
              <w:rPr>
                <w:rFonts w:hint="eastAsia" w:ascii="宋体" w:hAnsi="宋体"/>
                <w:color w:val="000000"/>
                <w:sz w:val="24"/>
              </w:rPr>
              <w:t>评审内容</w:t>
            </w:r>
          </w:p>
        </w:tc>
        <w:tc>
          <w:tcPr>
            <w:tcW w:w="1275" w:type="dxa"/>
            <w:shd w:val="clear" w:color="auto" w:fill="auto"/>
            <w:vAlign w:val="center"/>
          </w:tcPr>
          <w:p>
            <w:pPr>
              <w:widowControl/>
              <w:jc w:val="left"/>
              <w:rPr>
                <w:rFonts w:ascii="宋体" w:hAnsi="宋体"/>
                <w:color w:val="000000"/>
                <w:sz w:val="24"/>
              </w:rPr>
            </w:pPr>
            <w:r>
              <w:rPr>
                <w:rFonts w:hint="eastAsia" w:ascii="宋体" w:hAnsi="宋体"/>
                <w:color w:val="000000"/>
                <w:sz w:val="24"/>
              </w:rPr>
              <w:t>评审项目</w:t>
            </w:r>
          </w:p>
        </w:tc>
        <w:tc>
          <w:tcPr>
            <w:tcW w:w="6778" w:type="dxa"/>
            <w:shd w:val="clear" w:color="auto" w:fill="auto"/>
            <w:vAlign w:val="center"/>
          </w:tcPr>
          <w:p>
            <w:pPr>
              <w:widowControl/>
              <w:jc w:val="center"/>
              <w:rPr>
                <w:rFonts w:ascii="宋体" w:hAnsi="宋体"/>
                <w:color w:val="000000"/>
                <w:sz w:val="24"/>
              </w:rPr>
            </w:pPr>
            <w:r>
              <w:rPr>
                <w:rFonts w:hint="eastAsia" w:ascii="宋体" w:hAnsi="宋体"/>
                <w:color w:val="000000"/>
                <w:sz w:val="24"/>
              </w:rPr>
              <w:t>评分标准</w:t>
            </w:r>
          </w:p>
        </w:tc>
        <w:tc>
          <w:tcPr>
            <w:tcW w:w="709" w:type="dxa"/>
            <w:shd w:val="clear" w:color="auto" w:fill="auto"/>
            <w:vAlign w:val="center"/>
          </w:tcPr>
          <w:p>
            <w:pPr>
              <w:widowControl/>
              <w:jc w:val="center"/>
              <w:rPr>
                <w:rFonts w:ascii="宋体" w:hAnsi="宋体"/>
                <w:color w:val="000000"/>
                <w:sz w:val="24"/>
              </w:rPr>
            </w:pPr>
            <w:r>
              <w:rPr>
                <w:rFonts w:hint="eastAsia" w:ascii="宋体" w:hAnsi="宋体"/>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303" w:type="dxa"/>
            <w:shd w:val="clear" w:color="auto" w:fill="auto"/>
            <w:vAlign w:val="center"/>
          </w:tcPr>
          <w:p>
            <w:pPr>
              <w:widowControl/>
              <w:jc w:val="left"/>
              <w:rPr>
                <w:rFonts w:ascii="宋体" w:hAnsi="宋体" w:cs="宋体"/>
                <w:kern w:val="0"/>
                <w:sz w:val="24"/>
              </w:rPr>
            </w:pPr>
            <w:r>
              <w:rPr>
                <w:rFonts w:hint="eastAsia" w:ascii="宋体" w:hAnsi="宋体"/>
                <w:color w:val="000000"/>
                <w:sz w:val="24"/>
              </w:rPr>
              <w:t>价格评审</w:t>
            </w:r>
            <w:r>
              <w:rPr>
                <w:rFonts w:hint="eastAsia" w:ascii="宋体" w:hAnsi="宋体"/>
                <w:color w:val="000000"/>
                <w:sz w:val="24"/>
              </w:rPr>
              <w:br w:type="textWrapping"/>
            </w:r>
            <w:r>
              <w:rPr>
                <w:rFonts w:hint="eastAsia" w:ascii="宋体" w:hAnsi="宋体"/>
                <w:color w:val="000000"/>
                <w:sz w:val="24"/>
              </w:rPr>
              <w:t>（10分）</w:t>
            </w:r>
          </w:p>
        </w:tc>
        <w:tc>
          <w:tcPr>
            <w:tcW w:w="1275" w:type="dxa"/>
            <w:shd w:val="clear" w:color="auto" w:fill="auto"/>
            <w:vAlign w:val="center"/>
          </w:tcPr>
          <w:p>
            <w:pPr>
              <w:widowControl/>
              <w:jc w:val="left"/>
              <w:rPr>
                <w:rFonts w:ascii="宋体" w:hAnsi="宋体"/>
                <w:color w:val="000000"/>
                <w:szCs w:val="21"/>
              </w:rPr>
            </w:pPr>
            <w:r>
              <w:rPr>
                <w:rFonts w:hint="eastAsia" w:ascii="宋体" w:hAnsi="宋体" w:cs="宋体"/>
                <w:kern w:val="0"/>
                <w:sz w:val="24"/>
              </w:rPr>
              <w:t>最终报价</w:t>
            </w:r>
          </w:p>
        </w:tc>
        <w:tc>
          <w:tcPr>
            <w:tcW w:w="6778" w:type="dxa"/>
            <w:shd w:val="clear" w:color="auto" w:fill="auto"/>
            <w:vAlign w:val="center"/>
          </w:tcPr>
          <w:p>
            <w:pPr>
              <w:widowControl/>
              <w:spacing w:line="300" w:lineRule="atLeast"/>
              <w:jc w:val="left"/>
              <w:rPr>
                <w:rFonts w:ascii="宋体" w:hAnsi="宋体"/>
                <w:color w:val="000000"/>
                <w:szCs w:val="21"/>
              </w:rPr>
            </w:pPr>
            <w:r>
              <w:rPr>
                <w:rFonts w:hint="eastAsia" w:ascii="宋体" w:hAnsi="宋体"/>
                <w:color w:val="000000"/>
                <w:szCs w:val="21"/>
              </w:rPr>
              <w:t>磋商小组只对资格和符合性检查合格的响应文件进行价格评议，报价分采用低价优先法计算，即满足磋商文件要求且最后报价最低（因落实政府采购政策进行价格调整的，以调整后的价格计算评审基准价和最后磋商报价）为评审基准价，其价格分为满分。其他供应商的价格分按照下列公式计算：磋商报价得分</w:t>
            </w:r>
            <w:r>
              <w:rPr>
                <w:rFonts w:ascii="宋体" w:hAnsi="宋体"/>
                <w:color w:val="000000"/>
                <w:szCs w:val="21"/>
              </w:rPr>
              <w:t>=(评审基准价／投标报价)×价格分。</w:t>
            </w:r>
          </w:p>
        </w:tc>
        <w:tc>
          <w:tcPr>
            <w:tcW w:w="709" w:type="dxa"/>
            <w:shd w:val="clear" w:color="auto" w:fill="auto"/>
            <w:vAlign w:val="center"/>
          </w:tcPr>
          <w:p>
            <w:pPr>
              <w:widowControl/>
              <w:jc w:val="center"/>
              <w:rPr>
                <w:rFonts w:ascii="宋体" w:hAnsi="宋体"/>
                <w:color w:val="000000"/>
                <w:sz w:val="24"/>
              </w:rPr>
            </w:pPr>
            <w:r>
              <w:rPr>
                <w:rFonts w:hint="eastAsia" w:ascii="宋体" w:hAnsi="宋体"/>
                <w:color w:val="000000"/>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303" w:type="dxa"/>
            <w:vMerge w:val="restart"/>
            <w:shd w:val="clear" w:color="auto" w:fill="auto"/>
            <w:vAlign w:val="center"/>
          </w:tcPr>
          <w:p>
            <w:pPr>
              <w:widowControl/>
              <w:jc w:val="left"/>
              <w:rPr>
                <w:rFonts w:ascii="宋体" w:hAnsi="宋体"/>
                <w:color w:val="000000"/>
                <w:sz w:val="24"/>
              </w:rPr>
            </w:pPr>
            <w:r>
              <w:rPr>
                <w:rFonts w:hint="eastAsia" w:ascii="宋体" w:hAnsi="宋体"/>
                <w:color w:val="000000"/>
                <w:sz w:val="24"/>
              </w:rPr>
              <w:t>商务评审</w:t>
            </w:r>
            <w:r>
              <w:rPr>
                <w:rFonts w:hint="eastAsia" w:ascii="宋体" w:hAnsi="宋体"/>
                <w:color w:val="000000"/>
                <w:sz w:val="24"/>
              </w:rPr>
              <w:br w:type="textWrapping"/>
            </w:r>
            <w:r>
              <w:rPr>
                <w:rFonts w:hint="eastAsia" w:ascii="宋体" w:hAnsi="宋体"/>
                <w:color w:val="000000"/>
                <w:sz w:val="24"/>
              </w:rPr>
              <w:t>（35分）</w:t>
            </w:r>
          </w:p>
        </w:tc>
        <w:tc>
          <w:tcPr>
            <w:tcW w:w="1275" w:type="dxa"/>
            <w:vAlign w:val="center"/>
          </w:tcPr>
          <w:p>
            <w:pPr>
              <w:widowControl/>
              <w:jc w:val="left"/>
              <w:rPr>
                <w:rFonts w:ascii="宋体" w:hAnsi="宋体"/>
                <w:color w:val="000000"/>
                <w:szCs w:val="21"/>
              </w:rPr>
            </w:pPr>
            <w:r>
              <w:rPr>
                <w:rFonts w:hint="eastAsia" w:ascii="宋体" w:hAnsi="宋体" w:cs="宋体"/>
                <w:kern w:val="0"/>
                <w:sz w:val="24"/>
              </w:rPr>
              <w:t>企业实力</w:t>
            </w:r>
          </w:p>
        </w:tc>
        <w:tc>
          <w:tcPr>
            <w:tcW w:w="6778" w:type="dxa"/>
            <w:shd w:val="clear" w:color="auto" w:fill="auto"/>
            <w:vAlign w:val="center"/>
          </w:tcPr>
          <w:p>
            <w:pPr>
              <w:spacing w:line="300" w:lineRule="atLeast"/>
              <w:jc w:val="left"/>
              <w:rPr>
                <w:rFonts w:ascii="宋体" w:hAnsi="宋体"/>
                <w:color w:val="000000"/>
                <w:szCs w:val="21"/>
              </w:rPr>
            </w:pPr>
            <w:r>
              <w:rPr>
                <w:rFonts w:hint="eastAsia" w:ascii="宋体" w:hAnsi="宋体"/>
                <w:color w:val="000000"/>
                <w:szCs w:val="21"/>
              </w:rPr>
              <w:t>1、供应商获得AAA信用等级证书的得3分。</w:t>
            </w:r>
          </w:p>
          <w:p>
            <w:pPr>
              <w:spacing w:line="300" w:lineRule="atLeast"/>
              <w:jc w:val="left"/>
              <w:rPr>
                <w:rFonts w:ascii="宋体" w:hAnsi="宋体"/>
                <w:color w:val="000000"/>
                <w:szCs w:val="21"/>
              </w:rPr>
            </w:pPr>
            <w:r>
              <w:rPr>
                <w:rFonts w:hint="eastAsia" w:ascii="宋体" w:hAnsi="宋体"/>
                <w:color w:val="000000"/>
                <w:szCs w:val="21"/>
              </w:rPr>
              <w:t>2、供应商具有有效期内的ISO9000系列质量认证证书，环境管理体系证书，职业健康安全管理体系证书，每具备一个得1分，最高得3分，没有不得分。</w:t>
            </w:r>
          </w:p>
          <w:p>
            <w:pPr>
              <w:spacing w:line="300" w:lineRule="atLeast"/>
              <w:jc w:val="left"/>
              <w:rPr>
                <w:rFonts w:ascii="宋体" w:hAnsi="宋体"/>
                <w:color w:val="000000"/>
                <w:szCs w:val="21"/>
              </w:rPr>
            </w:pPr>
            <w:r>
              <w:rPr>
                <w:rFonts w:hint="eastAsia" w:ascii="宋体" w:hAnsi="宋体"/>
                <w:color w:val="000000"/>
                <w:szCs w:val="21"/>
              </w:rPr>
              <w:t>3、供应商获得高新技术企业证书得3分，没有不得分。</w:t>
            </w:r>
          </w:p>
          <w:p>
            <w:pPr>
              <w:spacing w:line="300" w:lineRule="atLeast"/>
              <w:jc w:val="left"/>
              <w:rPr>
                <w:rFonts w:ascii="宋体" w:hAnsi="宋体"/>
                <w:color w:val="000000"/>
                <w:szCs w:val="21"/>
              </w:rPr>
            </w:pPr>
            <w:r>
              <w:rPr>
                <w:rFonts w:hint="eastAsia" w:ascii="宋体" w:hAnsi="宋体"/>
                <w:color w:val="000000"/>
                <w:szCs w:val="21"/>
              </w:rPr>
              <w:t>以上提供证书原件的扫描件。</w:t>
            </w:r>
          </w:p>
        </w:tc>
        <w:tc>
          <w:tcPr>
            <w:tcW w:w="709" w:type="dxa"/>
            <w:shd w:val="clear" w:color="auto" w:fill="auto"/>
            <w:vAlign w:val="center"/>
          </w:tcPr>
          <w:p>
            <w:pPr>
              <w:widowControl/>
              <w:jc w:val="center"/>
              <w:rPr>
                <w:rFonts w:ascii="宋体" w:hAnsi="宋体"/>
                <w:color w:val="000000"/>
                <w:sz w:val="24"/>
              </w:rPr>
            </w:pPr>
            <w:r>
              <w:rPr>
                <w:rFonts w:hint="eastAsia" w:ascii="宋体" w:hAnsi="宋体"/>
                <w:color w:val="000000"/>
                <w:sz w:val="24"/>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303" w:type="dxa"/>
            <w:vMerge w:val="continue"/>
            <w:shd w:val="clear" w:color="auto" w:fill="auto"/>
            <w:vAlign w:val="center"/>
          </w:tcPr>
          <w:p>
            <w:pPr>
              <w:widowControl/>
              <w:jc w:val="left"/>
              <w:rPr>
                <w:rFonts w:ascii="宋体" w:hAnsi="宋体"/>
                <w:color w:val="000000"/>
                <w:sz w:val="24"/>
              </w:rPr>
            </w:pPr>
          </w:p>
        </w:tc>
        <w:tc>
          <w:tcPr>
            <w:tcW w:w="1275" w:type="dxa"/>
            <w:vAlign w:val="center"/>
          </w:tcPr>
          <w:p>
            <w:pPr>
              <w:widowControl/>
              <w:jc w:val="left"/>
              <w:rPr>
                <w:rFonts w:ascii="宋体" w:hAnsi="宋体" w:cs="宋体"/>
                <w:kern w:val="0"/>
                <w:sz w:val="24"/>
              </w:rPr>
            </w:pPr>
            <w:r>
              <w:rPr>
                <w:rFonts w:ascii="宋体" w:hAnsi="宋体" w:cs="宋体"/>
                <w:kern w:val="0"/>
                <w:sz w:val="24"/>
              </w:rPr>
              <w:t>技术人员配置</w:t>
            </w:r>
          </w:p>
        </w:tc>
        <w:tc>
          <w:tcPr>
            <w:tcW w:w="6778" w:type="dxa"/>
            <w:shd w:val="clear" w:color="auto" w:fill="auto"/>
            <w:vAlign w:val="center"/>
          </w:tcPr>
          <w:p>
            <w:pPr>
              <w:spacing w:line="300" w:lineRule="atLeast"/>
              <w:jc w:val="left"/>
              <w:rPr>
                <w:rFonts w:ascii="宋体" w:hAnsi="宋体"/>
                <w:color w:val="000000"/>
                <w:szCs w:val="21"/>
              </w:rPr>
            </w:pPr>
            <w:r>
              <w:rPr>
                <w:rFonts w:hint="eastAsia" w:ascii="宋体" w:hAnsi="宋体"/>
                <w:color w:val="000000"/>
                <w:szCs w:val="21"/>
              </w:rPr>
              <w:t>1、项目负责人</w:t>
            </w:r>
            <w:r>
              <w:rPr>
                <w:rFonts w:ascii="宋体" w:hAnsi="宋体"/>
                <w:color w:val="000000"/>
                <w:szCs w:val="21"/>
              </w:rPr>
              <w:t>具有土地管理</w:t>
            </w:r>
            <w:r>
              <w:rPr>
                <w:rFonts w:hint="eastAsia" w:ascii="宋体" w:hAnsi="宋体"/>
                <w:color w:val="000000"/>
                <w:szCs w:val="21"/>
              </w:rPr>
              <w:t>、</w:t>
            </w:r>
            <w:r>
              <w:rPr>
                <w:rFonts w:ascii="宋体" w:hAnsi="宋体"/>
                <w:color w:val="000000"/>
                <w:szCs w:val="21"/>
              </w:rPr>
              <w:t>规划高级工程师的得</w:t>
            </w:r>
            <w:r>
              <w:rPr>
                <w:rFonts w:hint="eastAsia" w:ascii="宋体" w:hAnsi="宋体"/>
                <w:color w:val="000000"/>
                <w:szCs w:val="21"/>
              </w:rPr>
              <w:t>3</w:t>
            </w:r>
            <w:r>
              <w:rPr>
                <w:rFonts w:ascii="宋体" w:hAnsi="宋体"/>
                <w:color w:val="000000"/>
                <w:szCs w:val="21"/>
              </w:rPr>
              <w:t>分</w:t>
            </w:r>
            <w:r>
              <w:rPr>
                <w:rFonts w:hint="eastAsia" w:ascii="宋体" w:hAnsi="宋体"/>
                <w:color w:val="000000"/>
                <w:szCs w:val="21"/>
              </w:rPr>
              <w:t>；</w:t>
            </w:r>
          </w:p>
          <w:p>
            <w:pPr>
              <w:spacing w:line="300" w:lineRule="atLeast"/>
              <w:jc w:val="left"/>
              <w:rPr>
                <w:rFonts w:ascii="宋体" w:hAnsi="宋体"/>
                <w:color w:val="000000"/>
                <w:szCs w:val="21"/>
              </w:rPr>
            </w:pPr>
            <w:r>
              <w:rPr>
                <w:rFonts w:hint="eastAsia" w:ascii="宋体" w:hAnsi="宋体"/>
                <w:color w:val="000000"/>
                <w:szCs w:val="21"/>
              </w:rPr>
              <w:t>2、项目其他成员（除项目负责人以外）具有高级职称或注册测绘师资格证的，每个加1分，最高的得3分。</w:t>
            </w:r>
          </w:p>
          <w:p>
            <w:pPr>
              <w:spacing w:line="300" w:lineRule="atLeast"/>
              <w:jc w:val="left"/>
              <w:rPr>
                <w:rFonts w:ascii="宋体" w:hAnsi="宋体"/>
                <w:color w:val="000000"/>
                <w:szCs w:val="21"/>
              </w:rPr>
            </w:pPr>
            <w:r>
              <w:rPr>
                <w:rFonts w:ascii="宋体" w:hAnsi="宋体"/>
                <w:color w:val="000000"/>
                <w:szCs w:val="21"/>
              </w:rPr>
              <w:t>注：需提供身份证、毕业证、职称证、相关资格证书、近半年内</w:t>
            </w:r>
            <w:r>
              <w:rPr>
                <w:rFonts w:hint="eastAsia" w:ascii="宋体" w:hAnsi="宋体"/>
                <w:color w:val="000000"/>
                <w:szCs w:val="21"/>
              </w:rPr>
              <w:t>3</w:t>
            </w:r>
            <w:r>
              <w:rPr>
                <w:rFonts w:ascii="宋体" w:hAnsi="宋体"/>
                <w:color w:val="000000"/>
                <w:szCs w:val="21"/>
              </w:rPr>
              <w:t>个月的社保证明复印件作为证明材料。</w:t>
            </w:r>
          </w:p>
        </w:tc>
        <w:tc>
          <w:tcPr>
            <w:tcW w:w="709" w:type="dxa"/>
            <w:shd w:val="clear" w:color="auto" w:fill="auto"/>
            <w:vAlign w:val="center"/>
          </w:tcPr>
          <w:p>
            <w:pPr>
              <w:widowControl/>
              <w:jc w:val="center"/>
              <w:rPr>
                <w:rFonts w:ascii="宋体" w:hAnsi="宋体"/>
                <w:color w:val="000000"/>
                <w:sz w:val="24"/>
              </w:rPr>
            </w:pPr>
            <w:r>
              <w:rPr>
                <w:rFonts w:hint="eastAsia" w:ascii="宋体" w:hAnsi="宋体"/>
                <w:color w:val="000000"/>
                <w:sz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303" w:type="dxa"/>
            <w:vMerge w:val="continue"/>
            <w:vAlign w:val="center"/>
          </w:tcPr>
          <w:p>
            <w:pPr>
              <w:widowControl/>
              <w:jc w:val="left"/>
              <w:rPr>
                <w:rFonts w:ascii="宋体" w:hAnsi="宋体"/>
                <w:color w:val="000000"/>
                <w:sz w:val="24"/>
              </w:rPr>
            </w:pPr>
          </w:p>
        </w:tc>
        <w:tc>
          <w:tcPr>
            <w:tcW w:w="1275" w:type="dxa"/>
            <w:vAlign w:val="center"/>
          </w:tcPr>
          <w:p>
            <w:pPr>
              <w:widowControl/>
              <w:jc w:val="left"/>
              <w:rPr>
                <w:rFonts w:ascii="宋体" w:hAnsi="宋体"/>
                <w:color w:val="000000"/>
                <w:szCs w:val="21"/>
              </w:rPr>
            </w:pPr>
            <w:r>
              <w:rPr>
                <w:rFonts w:hint="eastAsia" w:ascii="宋体" w:hAnsi="宋体" w:cs="宋体"/>
                <w:kern w:val="0"/>
                <w:sz w:val="24"/>
              </w:rPr>
              <w:t>类似业绩</w:t>
            </w:r>
          </w:p>
        </w:tc>
        <w:tc>
          <w:tcPr>
            <w:tcW w:w="6778" w:type="dxa"/>
            <w:shd w:val="clear" w:color="auto" w:fill="auto"/>
            <w:vAlign w:val="center"/>
          </w:tcPr>
          <w:p>
            <w:pPr>
              <w:spacing w:line="300" w:lineRule="atLeast"/>
              <w:jc w:val="left"/>
              <w:rPr>
                <w:rFonts w:ascii="宋体" w:hAnsi="宋体"/>
                <w:color w:val="000000"/>
                <w:szCs w:val="21"/>
              </w:rPr>
            </w:pPr>
            <w:r>
              <w:rPr>
                <w:rFonts w:ascii="宋体" w:hAnsi="宋体"/>
                <w:color w:val="000000"/>
                <w:szCs w:val="21"/>
              </w:rPr>
              <w:t>1、近三年（从2017年1月1日至今）有承担区县级及以上区域重大课题研究，得3分，没有不得分（提供合同或中标通知书原件的扫描件）。</w:t>
            </w:r>
          </w:p>
          <w:p>
            <w:pPr>
              <w:spacing w:line="300" w:lineRule="atLeast"/>
              <w:jc w:val="left"/>
              <w:rPr>
                <w:rFonts w:ascii="宋体" w:hAnsi="宋体"/>
                <w:color w:val="000000"/>
                <w:szCs w:val="21"/>
              </w:rPr>
            </w:pPr>
            <w:r>
              <w:rPr>
                <w:rFonts w:ascii="宋体" w:hAnsi="宋体"/>
                <w:color w:val="000000"/>
                <w:szCs w:val="21"/>
              </w:rPr>
              <w:t>2、近三年（从2017年1月1日至今）有市级以上自然资源领域相关项目业绩每个得</w:t>
            </w:r>
            <w:r>
              <w:rPr>
                <w:rFonts w:hint="eastAsia" w:ascii="宋体" w:hAnsi="宋体"/>
                <w:color w:val="000000"/>
                <w:szCs w:val="21"/>
              </w:rPr>
              <w:t>2</w:t>
            </w:r>
            <w:r>
              <w:rPr>
                <w:rFonts w:ascii="宋体" w:hAnsi="宋体"/>
                <w:color w:val="000000"/>
                <w:szCs w:val="21"/>
              </w:rPr>
              <w:t>分，最高</w:t>
            </w:r>
            <w:r>
              <w:rPr>
                <w:rFonts w:hint="eastAsia" w:ascii="宋体" w:hAnsi="宋体"/>
                <w:color w:val="000000"/>
                <w:szCs w:val="21"/>
              </w:rPr>
              <w:t>6</w:t>
            </w:r>
            <w:r>
              <w:rPr>
                <w:rFonts w:ascii="宋体" w:hAnsi="宋体"/>
                <w:color w:val="000000"/>
                <w:szCs w:val="21"/>
              </w:rPr>
              <w:t>分（提供合同或者中标通知书原件的扫描件）。</w:t>
            </w:r>
          </w:p>
        </w:tc>
        <w:tc>
          <w:tcPr>
            <w:tcW w:w="709" w:type="dxa"/>
            <w:shd w:val="clear" w:color="auto" w:fill="auto"/>
            <w:vAlign w:val="center"/>
          </w:tcPr>
          <w:p>
            <w:pPr>
              <w:widowControl/>
              <w:jc w:val="center"/>
              <w:rPr>
                <w:rFonts w:ascii="宋体" w:hAnsi="宋体"/>
                <w:color w:val="000000"/>
                <w:sz w:val="24"/>
              </w:rPr>
            </w:pPr>
            <w:r>
              <w:rPr>
                <w:rFonts w:hint="eastAsia" w:ascii="宋体" w:hAnsi="宋体"/>
                <w:color w:val="000000"/>
                <w:sz w:val="24"/>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303" w:type="dxa"/>
            <w:vMerge w:val="continue"/>
            <w:vAlign w:val="center"/>
          </w:tcPr>
          <w:p>
            <w:pPr>
              <w:widowControl/>
              <w:jc w:val="left"/>
              <w:rPr>
                <w:rFonts w:ascii="宋体" w:hAnsi="宋体"/>
                <w:color w:val="000000"/>
                <w:sz w:val="24"/>
              </w:rPr>
            </w:pPr>
          </w:p>
        </w:tc>
        <w:tc>
          <w:tcPr>
            <w:tcW w:w="1275" w:type="dxa"/>
            <w:vAlign w:val="center"/>
          </w:tcPr>
          <w:p>
            <w:pPr>
              <w:widowControl/>
              <w:jc w:val="left"/>
              <w:rPr>
                <w:rFonts w:ascii="宋体" w:hAnsi="宋体" w:cs="宋体"/>
                <w:kern w:val="0"/>
                <w:sz w:val="24"/>
              </w:rPr>
            </w:pPr>
            <w:r>
              <w:rPr>
                <w:rFonts w:hint="eastAsia" w:ascii="宋体" w:hAnsi="宋体" w:cs="宋体"/>
                <w:kern w:val="0"/>
                <w:sz w:val="24"/>
              </w:rPr>
              <w:t>获奖情况</w:t>
            </w:r>
          </w:p>
        </w:tc>
        <w:tc>
          <w:tcPr>
            <w:tcW w:w="6778" w:type="dxa"/>
            <w:shd w:val="clear" w:color="auto" w:fill="auto"/>
            <w:vAlign w:val="center"/>
          </w:tcPr>
          <w:p>
            <w:pPr>
              <w:spacing w:line="300" w:lineRule="atLeast"/>
              <w:jc w:val="left"/>
              <w:rPr>
                <w:rFonts w:ascii="宋体" w:hAnsi="宋体"/>
                <w:color w:val="000000"/>
                <w:szCs w:val="21"/>
              </w:rPr>
            </w:pPr>
            <w:r>
              <w:rPr>
                <w:rFonts w:ascii="宋体" w:hAnsi="宋体"/>
                <w:color w:val="000000"/>
                <w:szCs w:val="21"/>
              </w:rPr>
              <w:t>获得国家</w:t>
            </w:r>
            <w:r>
              <w:rPr>
                <w:rFonts w:hint="eastAsia" w:ascii="宋体" w:hAnsi="宋体"/>
                <w:color w:val="000000"/>
                <w:szCs w:val="21"/>
              </w:rPr>
              <w:t>级科学技术奖或者</w:t>
            </w:r>
            <w:r>
              <w:rPr>
                <w:rFonts w:ascii="宋体" w:hAnsi="宋体"/>
                <w:color w:val="000000"/>
                <w:szCs w:val="21"/>
              </w:rPr>
              <w:t>科技</w:t>
            </w:r>
            <w:r>
              <w:rPr>
                <w:rFonts w:hint="eastAsia" w:ascii="宋体" w:hAnsi="宋体"/>
                <w:color w:val="000000"/>
                <w:szCs w:val="21"/>
              </w:rPr>
              <w:t>进步奖的</w:t>
            </w:r>
            <w:r>
              <w:rPr>
                <w:rFonts w:ascii="宋体" w:hAnsi="宋体"/>
                <w:color w:val="000000"/>
                <w:szCs w:val="21"/>
              </w:rPr>
              <w:t>，每项得2分，最高4分；</w:t>
            </w:r>
            <w:r>
              <w:rPr>
                <w:rFonts w:hint="eastAsia" w:ascii="宋体" w:hAnsi="宋体"/>
                <w:color w:val="000000"/>
                <w:szCs w:val="21"/>
              </w:rPr>
              <w:t>获得省级优秀测绘工程</w:t>
            </w:r>
            <w:r>
              <w:rPr>
                <w:rFonts w:ascii="宋体" w:hAnsi="宋体"/>
                <w:color w:val="000000"/>
                <w:szCs w:val="21"/>
              </w:rPr>
              <w:t>奖的，每项得1分，最高2分。（需提供证书原件扫描件）。</w:t>
            </w:r>
          </w:p>
        </w:tc>
        <w:tc>
          <w:tcPr>
            <w:tcW w:w="709" w:type="dxa"/>
            <w:shd w:val="clear" w:color="auto" w:fill="auto"/>
            <w:vAlign w:val="center"/>
          </w:tcPr>
          <w:p>
            <w:pPr>
              <w:widowControl/>
              <w:jc w:val="center"/>
              <w:rPr>
                <w:rFonts w:ascii="宋体" w:hAnsi="宋体"/>
                <w:color w:val="000000"/>
                <w:sz w:val="24"/>
              </w:rPr>
            </w:pPr>
            <w:r>
              <w:rPr>
                <w:rFonts w:hint="eastAsia" w:ascii="宋体" w:hAnsi="宋体"/>
                <w:color w:val="000000"/>
                <w:sz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303" w:type="dxa"/>
            <w:vMerge w:val="continue"/>
            <w:vAlign w:val="center"/>
          </w:tcPr>
          <w:p>
            <w:pPr>
              <w:widowControl/>
              <w:jc w:val="left"/>
              <w:rPr>
                <w:rFonts w:ascii="宋体" w:hAnsi="宋体"/>
                <w:color w:val="000000"/>
                <w:sz w:val="24"/>
              </w:rPr>
            </w:pPr>
          </w:p>
        </w:tc>
        <w:tc>
          <w:tcPr>
            <w:tcW w:w="1275" w:type="dxa"/>
            <w:vAlign w:val="center"/>
          </w:tcPr>
          <w:p>
            <w:pPr>
              <w:widowControl/>
              <w:jc w:val="left"/>
              <w:rPr>
                <w:rFonts w:ascii="宋体" w:hAnsi="宋体" w:cs="宋体"/>
                <w:kern w:val="0"/>
                <w:sz w:val="24"/>
              </w:rPr>
            </w:pPr>
            <w:r>
              <w:rPr>
                <w:rFonts w:hint="eastAsia" w:ascii="宋体" w:hAnsi="宋体" w:cs="宋体"/>
                <w:kern w:val="0"/>
                <w:sz w:val="24"/>
              </w:rPr>
              <w:t>投标文件制作</w:t>
            </w:r>
          </w:p>
        </w:tc>
        <w:tc>
          <w:tcPr>
            <w:tcW w:w="6778" w:type="dxa"/>
            <w:shd w:val="clear" w:color="auto" w:fill="auto"/>
            <w:vAlign w:val="center"/>
          </w:tcPr>
          <w:p>
            <w:pPr>
              <w:spacing w:line="300" w:lineRule="atLeast"/>
              <w:jc w:val="left"/>
              <w:rPr>
                <w:rFonts w:ascii="宋体" w:hAnsi="宋体"/>
                <w:b/>
                <w:color w:val="000000"/>
                <w:szCs w:val="21"/>
              </w:rPr>
            </w:pPr>
            <w:r>
              <w:rPr>
                <w:rFonts w:hint="eastAsia" w:ascii="宋体" w:hAnsi="宋体"/>
                <w:color w:val="000000"/>
                <w:szCs w:val="21"/>
              </w:rPr>
              <w:t>根据响应文件编制的完整性，是否有连续页码、详细目录、目录与有关材料装订顺序对应是否清晰、查阅方便，进行综合评比，酌情评分，得分0-5分。</w:t>
            </w:r>
          </w:p>
        </w:tc>
        <w:tc>
          <w:tcPr>
            <w:tcW w:w="709" w:type="dxa"/>
            <w:shd w:val="clear" w:color="auto" w:fill="auto"/>
            <w:vAlign w:val="center"/>
          </w:tcPr>
          <w:p>
            <w:pPr>
              <w:widowControl/>
              <w:jc w:val="center"/>
              <w:rPr>
                <w:rFonts w:ascii="宋体" w:hAnsi="宋体"/>
                <w:color w:val="000000"/>
                <w:sz w:val="24"/>
              </w:rPr>
            </w:pPr>
            <w:r>
              <w:rPr>
                <w:rFonts w:hint="eastAsia" w:ascii="宋体" w:hAnsi="宋体"/>
                <w:color w:val="000000"/>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1303" w:type="dxa"/>
            <w:vMerge w:val="restart"/>
            <w:shd w:val="clear" w:color="auto" w:fill="auto"/>
            <w:vAlign w:val="center"/>
          </w:tcPr>
          <w:p>
            <w:pPr>
              <w:widowControl/>
              <w:jc w:val="left"/>
              <w:rPr>
                <w:rFonts w:ascii="宋体" w:hAnsi="宋体"/>
                <w:color w:val="000000"/>
                <w:sz w:val="24"/>
              </w:rPr>
            </w:pPr>
            <w:r>
              <w:rPr>
                <w:rFonts w:hint="eastAsia" w:ascii="宋体" w:hAnsi="宋体"/>
                <w:color w:val="000000"/>
                <w:sz w:val="24"/>
              </w:rPr>
              <w:t>技术评审</w:t>
            </w:r>
            <w:r>
              <w:rPr>
                <w:rFonts w:hint="eastAsia" w:ascii="宋体" w:hAnsi="宋体"/>
                <w:color w:val="000000"/>
                <w:sz w:val="24"/>
              </w:rPr>
              <w:br w:type="textWrapping"/>
            </w:r>
            <w:r>
              <w:rPr>
                <w:rFonts w:hint="eastAsia" w:ascii="宋体" w:hAnsi="宋体"/>
                <w:color w:val="000000"/>
                <w:sz w:val="24"/>
              </w:rPr>
              <w:t>（55分）</w:t>
            </w:r>
          </w:p>
        </w:tc>
        <w:tc>
          <w:tcPr>
            <w:tcW w:w="1275" w:type="dxa"/>
            <w:vAlign w:val="center"/>
          </w:tcPr>
          <w:p>
            <w:pPr>
              <w:widowControl/>
              <w:jc w:val="left"/>
              <w:rPr>
                <w:rFonts w:ascii="宋体" w:hAnsi="宋体"/>
                <w:color w:val="000000"/>
                <w:szCs w:val="21"/>
              </w:rPr>
            </w:pPr>
            <w:r>
              <w:rPr>
                <w:rFonts w:hint="eastAsia" w:ascii="宋体" w:hAnsi="宋体" w:cs="宋体"/>
                <w:kern w:val="0"/>
                <w:sz w:val="24"/>
              </w:rPr>
              <w:t>项目的了解与认识</w:t>
            </w:r>
          </w:p>
        </w:tc>
        <w:tc>
          <w:tcPr>
            <w:tcW w:w="6778" w:type="dxa"/>
            <w:shd w:val="clear" w:color="auto" w:fill="auto"/>
            <w:vAlign w:val="center"/>
          </w:tcPr>
          <w:p>
            <w:pPr>
              <w:spacing w:line="300" w:lineRule="atLeast"/>
              <w:jc w:val="left"/>
              <w:rPr>
                <w:rFonts w:ascii="宋体" w:hAnsi="宋体"/>
                <w:color w:val="000000"/>
                <w:szCs w:val="21"/>
              </w:rPr>
            </w:pPr>
            <w:r>
              <w:rPr>
                <w:rFonts w:ascii="宋体" w:hAnsi="宋体"/>
                <w:color w:val="000000"/>
                <w:szCs w:val="21"/>
              </w:rPr>
              <w:t>1、对项目的目标、任务认识全面、准确、到位，研究大纲高度契合研究方向和重点，得10分。</w:t>
            </w:r>
          </w:p>
          <w:p>
            <w:pPr>
              <w:spacing w:line="300" w:lineRule="atLeast"/>
              <w:jc w:val="left"/>
              <w:rPr>
                <w:rFonts w:ascii="宋体" w:hAnsi="宋体"/>
                <w:color w:val="000000"/>
                <w:szCs w:val="21"/>
              </w:rPr>
            </w:pPr>
            <w:r>
              <w:rPr>
                <w:rFonts w:hint="eastAsia" w:ascii="宋体" w:hAnsi="宋体"/>
                <w:color w:val="000000"/>
                <w:szCs w:val="21"/>
              </w:rPr>
              <w:t>2、</w:t>
            </w:r>
            <w:r>
              <w:rPr>
                <w:rFonts w:ascii="宋体" w:hAnsi="宋体"/>
                <w:color w:val="000000"/>
                <w:szCs w:val="21"/>
              </w:rPr>
              <w:t>对项目的目标、任务有基本认识的，研究大纲基本契合研究方向和重点，得5分。</w:t>
            </w:r>
          </w:p>
          <w:p>
            <w:pPr>
              <w:spacing w:line="300" w:lineRule="atLeast"/>
              <w:jc w:val="left"/>
            </w:pPr>
            <w:r>
              <w:rPr>
                <w:rFonts w:hint="eastAsia" w:ascii="宋体" w:hAnsi="宋体"/>
                <w:color w:val="000000"/>
                <w:szCs w:val="21"/>
              </w:rPr>
              <w:t>3</w:t>
            </w:r>
            <w:r>
              <w:rPr>
                <w:rFonts w:ascii="宋体" w:hAnsi="宋体"/>
                <w:color w:val="000000"/>
                <w:szCs w:val="21"/>
              </w:rPr>
              <w:t>、对项目的目标、任务认识有偏差的，研究大纲与研究方向和重点不符，得0分。</w:t>
            </w:r>
          </w:p>
        </w:tc>
        <w:tc>
          <w:tcPr>
            <w:tcW w:w="709" w:type="dxa"/>
            <w:shd w:val="clear" w:color="auto" w:fill="auto"/>
            <w:vAlign w:val="center"/>
          </w:tcPr>
          <w:p>
            <w:pPr>
              <w:widowControl/>
              <w:jc w:val="center"/>
              <w:rPr>
                <w:rFonts w:ascii="宋体" w:hAnsi="宋体"/>
                <w:color w:val="000000"/>
                <w:sz w:val="24"/>
              </w:rPr>
            </w:pPr>
            <w:r>
              <w:rPr>
                <w:rFonts w:hint="eastAsia" w:ascii="宋体" w:hAnsi="宋体"/>
                <w:color w:val="000000"/>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303" w:type="dxa"/>
            <w:vMerge w:val="continue"/>
            <w:shd w:val="clear" w:color="auto" w:fill="auto"/>
            <w:vAlign w:val="center"/>
          </w:tcPr>
          <w:p>
            <w:pPr>
              <w:widowControl/>
              <w:jc w:val="left"/>
              <w:rPr>
                <w:rFonts w:ascii="宋体" w:hAnsi="宋体"/>
                <w:color w:val="000000"/>
                <w:sz w:val="24"/>
              </w:rPr>
            </w:pPr>
          </w:p>
        </w:tc>
        <w:tc>
          <w:tcPr>
            <w:tcW w:w="1275" w:type="dxa"/>
            <w:vAlign w:val="center"/>
          </w:tcPr>
          <w:p>
            <w:pPr>
              <w:widowControl/>
              <w:jc w:val="left"/>
              <w:rPr>
                <w:rFonts w:ascii="宋体" w:hAnsi="宋体" w:cs="宋体"/>
                <w:kern w:val="0"/>
                <w:sz w:val="24"/>
              </w:rPr>
            </w:pPr>
            <w:r>
              <w:rPr>
                <w:rFonts w:ascii="宋体" w:hAnsi="宋体" w:cs="宋体"/>
                <w:kern w:val="0"/>
                <w:sz w:val="24"/>
              </w:rPr>
              <w:t>与研究要点联系紧密度、研究方法及研究大纲</w:t>
            </w:r>
          </w:p>
        </w:tc>
        <w:tc>
          <w:tcPr>
            <w:tcW w:w="6778" w:type="dxa"/>
            <w:shd w:val="clear" w:color="auto" w:fill="auto"/>
            <w:vAlign w:val="center"/>
          </w:tcPr>
          <w:p>
            <w:pPr>
              <w:spacing w:line="300" w:lineRule="atLeast"/>
              <w:jc w:val="left"/>
              <w:rPr>
                <w:rFonts w:ascii="宋体" w:hAnsi="宋体"/>
                <w:color w:val="000000"/>
                <w:szCs w:val="21"/>
              </w:rPr>
            </w:pPr>
            <w:r>
              <w:rPr>
                <w:rFonts w:hint="eastAsia" w:ascii="宋体" w:hAnsi="宋体"/>
                <w:color w:val="000000"/>
                <w:szCs w:val="21"/>
              </w:rPr>
              <w:t>1、</w:t>
            </w:r>
            <w:r>
              <w:rPr>
                <w:rFonts w:ascii="宋体" w:hAnsi="宋体"/>
                <w:color w:val="000000"/>
                <w:szCs w:val="21"/>
              </w:rPr>
              <w:t>紧扣所研究课题和研究要点，研究方法切实可行，研究大纲符合要求，得10分。</w:t>
            </w:r>
          </w:p>
          <w:p>
            <w:pPr>
              <w:spacing w:line="300" w:lineRule="atLeast"/>
              <w:jc w:val="left"/>
              <w:rPr>
                <w:rFonts w:ascii="宋体" w:hAnsi="宋体"/>
                <w:color w:val="000000"/>
                <w:szCs w:val="21"/>
              </w:rPr>
            </w:pPr>
            <w:r>
              <w:rPr>
                <w:rFonts w:hint="eastAsia" w:ascii="宋体" w:hAnsi="宋体"/>
                <w:color w:val="000000"/>
                <w:szCs w:val="21"/>
              </w:rPr>
              <w:t>2、</w:t>
            </w:r>
            <w:r>
              <w:rPr>
                <w:rFonts w:ascii="宋体" w:hAnsi="宋体"/>
                <w:color w:val="000000"/>
                <w:szCs w:val="21"/>
              </w:rPr>
              <w:t>与研究课题和研究要点联系较紧密，研究方法可行，研究大纲较为符合要求，得5分。</w:t>
            </w:r>
          </w:p>
          <w:p>
            <w:pPr>
              <w:spacing w:line="300" w:lineRule="atLeast"/>
              <w:jc w:val="left"/>
            </w:pPr>
            <w:r>
              <w:rPr>
                <w:rFonts w:hint="eastAsia" w:ascii="宋体" w:hAnsi="宋体"/>
                <w:color w:val="000000"/>
                <w:szCs w:val="21"/>
              </w:rPr>
              <w:t>3、</w:t>
            </w:r>
            <w:r>
              <w:rPr>
                <w:rFonts w:ascii="宋体" w:hAnsi="宋体"/>
                <w:color w:val="000000"/>
                <w:szCs w:val="21"/>
              </w:rPr>
              <w:t>与研究课题和研究要点联系不紧密，研究方法不可行，研究大纲不符合要求，得0分。</w:t>
            </w:r>
          </w:p>
        </w:tc>
        <w:tc>
          <w:tcPr>
            <w:tcW w:w="709" w:type="dxa"/>
            <w:shd w:val="clear" w:color="auto" w:fill="auto"/>
            <w:vAlign w:val="center"/>
          </w:tcPr>
          <w:p>
            <w:pPr>
              <w:widowControl/>
              <w:jc w:val="center"/>
              <w:rPr>
                <w:rFonts w:ascii="宋体" w:hAnsi="宋体"/>
                <w:color w:val="000000"/>
                <w:sz w:val="24"/>
              </w:rPr>
            </w:pPr>
            <w:r>
              <w:rPr>
                <w:rFonts w:hint="eastAsia" w:ascii="宋体" w:hAnsi="宋体"/>
                <w:color w:val="000000"/>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303" w:type="dxa"/>
            <w:vMerge w:val="continue"/>
            <w:vAlign w:val="center"/>
          </w:tcPr>
          <w:p>
            <w:pPr>
              <w:widowControl/>
              <w:jc w:val="left"/>
              <w:rPr>
                <w:rFonts w:ascii="宋体" w:hAnsi="宋体"/>
                <w:color w:val="000000"/>
                <w:sz w:val="24"/>
              </w:rPr>
            </w:pPr>
          </w:p>
        </w:tc>
        <w:tc>
          <w:tcPr>
            <w:tcW w:w="1275" w:type="dxa"/>
            <w:vAlign w:val="center"/>
          </w:tcPr>
          <w:p>
            <w:pPr>
              <w:widowControl/>
              <w:jc w:val="left"/>
              <w:rPr>
                <w:rFonts w:ascii="宋体" w:hAnsi="宋体"/>
                <w:color w:val="000000"/>
                <w:szCs w:val="21"/>
              </w:rPr>
            </w:pPr>
            <w:r>
              <w:rPr>
                <w:rFonts w:ascii="宋体" w:hAnsi="宋体" w:cs="宋体"/>
                <w:kern w:val="0"/>
                <w:sz w:val="24"/>
              </w:rPr>
              <w:t>对国内外总体形势和国家政策导向的认知</w:t>
            </w:r>
          </w:p>
        </w:tc>
        <w:tc>
          <w:tcPr>
            <w:tcW w:w="6778" w:type="dxa"/>
            <w:shd w:val="clear" w:color="auto" w:fill="auto"/>
            <w:vAlign w:val="center"/>
          </w:tcPr>
          <w:p>
            <w:pPr>
              <w:spacing w:line="300" w:lineRule="atLeast"/>
              <w:jc w:val="left"/>
              <w:rPr>
                <w:rFonts w:ascii="宋体" w:hAnsi="宋体"/>
                <w:szCs w:val="21"/>
              </w:rPr>
            </w:pPr>
            <w:r>
              <w:rPr>
                <w:rFonts w:hint="eastAsia" w:ascii="宋体" w:hAnsi="宋体"/>
                <w:color w:val="000000"/>
                <w:szCs w:val="21"/>
              </w:rPr>
              <w:t>1、</w:t>
            </w:r>
            <w:r>
              <w:rPr>
                <w:rFonts w:ascii="宋体" w:hAnsi="宋体"/>
                <w:szCs w:val="21"/>
              </w:rPr>
              <w:t>对国内外总体形式研判准确，重大机遇挑战分析到位，对国家政策导向研究深入</w:t>
            </w:r>
            <w:r>
              <w:rPr>
                <w:szCs w:val="21"/>
              </w:rPr>
              <w:t>，</w:t>
            </w:r>
            <w:r>
              <w:rPr>
                <w:rFonts w:ascii="宋体" w:hAnsi="宋体"/>
                <w:szCs w:val="21"/>
              </w:rPr>
              <w:t>得</w:t>
            </w:r>
            <w:r>
              <w:rPr>
                <w:szCs w:val="21"/>
              </w:rPr>
              <w:t>10</w:t>
            </w:r>
            <w:r>
              <w:rPr>
                <w:rFonts w:ascii="宋体" w:hAnsi="宋体"/>
                <w:szCs w:val="21"/>
              </w:rPr>
              <w:t>分。</w:t>
            </w:r>
          </w:p>
          <w:p>
            <w:pPr>
              <w:spacing w:line="300" w:lineRule="atLeast"/>
              <w:jc w:val="left"/>
              <w:rPr>
                <w:rFonts w:ascii="宋体" w:hAnsi="宋体"/>
                <w:szCs w:val="21"/>
              </w:rPr>
            </w:pPr>
            <w:r>
              <w:rPr>
                <w:rFonts w:hint="eastAsia" w:ascii="宋体" w:hAnsi="宋体"/>
                <w:color w:val="000000"/>
                <w:szCs w:val="21"/>
              </w:rPr>
              <w:t>2、</w:t>
            </w:r>
            <w:r>
              <w:rPr>
                <w:rFonts w:ascii="宋体" w:hAnsi="宋体"/>
                <w:szCs w:val="21"/>
              </w:rPr>
              <w:t>对国内外总体形势有一定研判，对国家政策导向有一定研究</w:t>
            </w:r>
            <w:r>
              <w:rPr>
                <w:szCs w:val="21"/>
              </w:rPr>
              <w:t>，</w:t>
            </w:r>
            <w:r>
              <w:rPr>
                <w:rFonts w:ascii="宋体" w:hAnsi="宋体"/>
                <w:color w:val="000000"/>
                <w:szCs w:val="21"/>
              </w:rPr>
              <w:t>得</w:t>
            </w:r>
            <w:r>
              <w:rPr>
                <w:rFonts w:ascii="宋体" w:hAnsi="宋体"/>
                <w:szCs w:val="21"/>
              </w:rPr>
              <w:t>5</w:t>
            </w:r>
            <w:r>
              <w:rPr>
                <w:rFonts w:ascii="宋体" w:hAnsi="宋体"/>
                <w:color w:val="000000"/>
                <w:szCs w:val="21"/>
              </w:rPr>
              <w:t>分</w:t>
            </w:r>
            <w:r>
              <w:rPr>
                <w:rFonts w:ascii="宋体" w:hAnsi="宋体"/>
                <w:szCs w:val="21"/>
              </w:rPr>
              <w:t>。</w:t>
            </w:r>
          </w:p>
          <w:p>
            <w:pPr>
              <w:spacing w:line="300" w:lineRule="atLeast"/>
              <w:jc w:val="left"/>
            </w:pPr>
            <w:r>
              <w:rPr>
                <w:rFonts w:hint="eastAsia" w:ascii="宋体" w:hAnsi="宋体"/>
                <w:color w:val="000000"/>
                <w:szCs w:val="21"/>
              </w:rPr>
              <w:t>3、</w:t>
            </w:r>
            <w:r>
              <w:rPr>
                <w:rFonts w:ascii="宋体" w:hAnsi="宋体"/>
                <w:szCs w:val="21"/>
              </w:rPr>
              <w:t>对国内外总体形势不掌握，对国家政策导向无研究</w:t>
            </w:r>
            <w:r>
              <w:rPr>
                <w:szCs w:val="21"/>
              </w:rPr>
              <w:t>，</w:t>
            </w:r>
            <w:r>
              <w:rPr>
                <w:rFonts w:ascii="宋体" w:hAnsi="宋体"/>
                <w:szCs w:val="21"/>
              </w:rPr>
              <w:t>得</w:t>
            </w:r>
            <w:r>
              <w:rPr>
                <w:szCs w:val="21"/>
              </w:rPr>
              <w:t>0</w:t>
            </w:r>
            <w:r>
              <w:rPr>
                <w:rFonts w:ascii="宋体" w:hAnsi="宋体"/>
                <w:szCs w:val="21"/>
              </w:rPr>
              <w:t>分。</w:t>
            </w:r>
          </w:p>
        </w:tc>
        <w:tc>
          <w:tcPr>
            <w:tcW w:w="709" w:type="dxa"/>
            <w:shd w:val="clear" w:color="auto" w:fill="auto"/>
            <w:vAlign w:val="center"/>
          </w:tcPr>
          <w:p>
            <w:pPr>
              <w:widowControl/>
              <w:jc w:val="center"/>
              <w:rPr>
                <w:rFonts w:ascii="宋体" w:hAnsi="宋体"/>
                <w:color w:val="000000"/>
                <w:sz w:val="24"/>
              </w:rPr>
            </w:pPr>
            <w:r>
              <w:rPr>
                <w:rFonts w:hint="eastAsia" w:ascii="宋体" w:hAnsi="宋体"/>
                <w:color w:val="000000"/>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303" w:type="dxa"/>
            <w:vMerge w:val="continue"/>
            <w:vAlign w:val="center"/>
          </w:tcPr>
          <w:p>
            <w:pPr>
              <w:widowControl/>
              <w:jc w:val="left"/>
              <w:rPr>
                <w:rFonts w:ascii="宋体" w:hAnsi="宋体"/>
                <w:color w:val="000000"/>
                <w:sz w:val="24"/>
              </w:rPr>
            </w:pPr>
          </w:p>
        </w:tc>
        <w:tc>
          <w:tcPr>
            <w:tcW w:w="1275" w:type="dxa"/>
          </w:tcPr>
          <w:p>
            <w:pPr>
              <w:widowControl/>
              <w:jc w:val="left"/>
              <w:rPr>
                <w:rFonts w:ascii="宋体" w:hAnsi="宋体" w:cs="宋体"/>
                <w:kern w:val="0"/>
                <w:sz w:val="24"/>
              </w:rPr>
            </w:pPr>
            <w:r>
              <w:rPr>
                <w:rFonts w:hint="eastAsia" w:ascii="宋体" w:hAnsi="宋体" w:cs="宋体"/>
                <w:kern w:val="0"/>
                <w:sz w:val="24"/>
              </w:rPr>
              <w:t>对本项目招标任务、要求的理解，提出总体设计思路及技术</w:t>
            </w:r>
          </w:p>
          <w:p>
            <w:pPr>
              <w:widowControl/>
              <w:jc w:val="left"/>
              <w:rPr>
                <w:rFonts w:ascii="宋体" w:hAnsi="宋体" w:cs="宋体"/>
                <w:kern w:val="0"/>
                <w:sz w:val="24"/>
              </w:rPr>
            </w:pPr>
            <w:r>
              <w:rPr>
                <w:rFonts w:hint="eastAsia" w:ascii="宋体" w:hAnsi="宋体" w:cs="宋体"/>
                <w:kern w:val="0"/>
                <w:sz w:val="24"/>
              </w:rPr>
              <w:t>路线</w:t>
            </w:r>
          </w:p>
        </w:tc>
        <w:tc>
          <w:tcPr>
            <w:tcW w:w="6778" w:type="dxa"/>
            <w:shd w:val="clear" w:color="auto" w:fill="auto"/>
            <w:vAlign w:val="center"/>
          </w:tcPr>
          <w:p>
            <w:pPr>
              <w:spacing w:line="300" w:lineRule="atLeast"/>
              <w:jc w:val="left"/>
              <w:rPr>
                <w:rFonts w:ascii="宋体" w:hAnsi="宋体"/>
                <w:color w:val="000000"/>
                <w:szCs w:val="21"/>
              </w:rPr>
            </w:pPr>
            <w:r>
              <w:rPr>
                <w:rFonts w:ascii="宋体" w:hAnsi="宋体"/>
                <w:color w:val="000000"/>
                <w:szCs w:val="21"/>
              </w:rPr>
              <w:t>对招标任务、要求进行深入分析，提出总体系统性的设计思路、技术路线能满足业主和项目需求、分析项目定位及目标精准，标准如下：</w:t>
            </w:r>
          </w:p>
          <w:p>
            <w:pPr>
              <w:spacing w:line="300" w:lineRule="atLeast"/>
              <w:jc w:val="left"/>
              <w:rPr>
                <w:rFonts w:ascii="宋体" w:hAnsi="宋体"/>
                <w:color w:val="000000"/>
                <w:szCs w:val="21"/>
              </w:rPr>
            </w:pPr>
            <w:r>
              <w:rPr>
                <w:rFonts w:ascii="宋体" w:hAnsi="宋体"/>
                <w:color w:val="000000"/>
                <w:szCs w:val="21"/>
              </w:rPr>
              <w:t>1、理解和把握精准，技术路线合理得</w:t>
            </w:r>
            <w:r>
              <w:rPr>
                <w:rFonts w:hint="eastAsia" w:ascii="宋体" w:hAnsi="宋体"/>
                <w:color w:val="000000"/>
                <w:szCs w:val="21"/>
              </w:rPr>
              <w:t>6</w:t>
            </w:r>
            <w:r>
              <w:rPr>
                <w:rFonts w:ascii="宋体" w:hAnsi="宋体"/>
                <w:color w:val="000000"/>
                <w:szCs w:val="21"/>
              </w:rPr>
              <w:t>-8分；</w:t>
            </w:r>
          </w:p>
          <w:p>
            <w:pPr>
              <w:spacing w:line="300" w:lineRule="atLeast"/>
              <w:jc w:val="left"/>
              <w:rPr>
                <w:rFonts w:ascii="宋体" w:hAnsi="宋体"/>
                <w:color w:val="000000"/>
                <w:szCs w:val="21"/>
              </w:rPr>
            </w:pPr>
            <w:r>
              <w:rPr>
                <w:rFonts w:ascii="宋体" w:hAnsi="宋体"/>
                <w:color w:val="000000"/>
                <w:szCs w:val="21"/>
              </w:rPr>
              <w:t>2、理解和把握较精准，技术路线较合理得</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5</w:t>
            </w:r>
            <w:r>
              <w:rPr>
                <w:rFonts w:ascii="宋体" w:hAnsi="宋体"/>
                <w:color w:val="000000"/>
                <w:szCs w:val="21"/>
              </w:rPr>
              <w:t>分；</w:t>
            </w:r>
          </w:p>
          <w:p>
            <w:pPr>
              <w:spacing w:line="300" w:lineRule="atLeast"/>
              <w:jc w:val="left"/>
              <w:rPr>
                <w:rFonts w:ascii="宋体" w:hAnsi="宋体"/>
                <w:color w:val="000000"/>
                <w:szCs w:val="21"/>
              </w:rPr>
            </w:pPr>
            <w:r>
              <w:rPr>
                <w:rFonts w:ascii="宋体" w:hAnsi="宋体"/>
                <w:color w:val="000000"/>
                <w:szCs w:val="21"/>
              </w:rPr>
              <w:t>3、理解和把握存在偏差，技术路线不合理得0-2分；</w:t>
            </w:r>
          </w:p>
        </w:tc>
        <w:tc>
          <w:tcPr>
            <w:tcW w:w="709" w:type="dxa"/>
            <w:shd w:val="clear" w:color="auto" w:fill="auto"/>
            <w:vAlign w:val="center"/>
          </w:tcPr>
          <w:p>
            <w:pPr>
              <w:widowControl/>
              <w:jc w:val="center"/>
              <w:rPr>
                <w:rFonts w:ascii="宋体" w:hAnsi="宋体"/>
                <w:color w:val="000000"/>
                <w:sz w:val="24"/>
              </w:rPr>
            </w:pPr>
            <w:r>
              <w:rPr>
                <w:rFonts w:hint="eastAsia" w:ascii="宋体" w:hAnsi="宋体"/>
                <w:color w:val="000000"/>
                <w:sz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303" w:type="dxa"/>
            <w:vMerge w:val="continue"/>
            <w:vAlign w:val="center"/>
          </w:tcPr>
          <w:p>
            <w:pPr>
              <w:widowControl/>
              <w:jc w:val="left"/>
              <w:rPr>
                <w:rFonts w:ascii="宋体" w:hAnsi="宋体"/>
                <w:color w:val="000000"/>
                <w:sz w:val="24"/>
              </w:rPr>
            </w:pPr>
          </w:p>
        </w:tc>
        <w:tc>
          <w:tcPr>
            <w:tcW w:w="1275" w:type="dxa"/>
            <w:vAlign w:val="center"/>
          </w:tcPr>
          <w:p>
            <w:pPr>
              <w:widowControl/>
              <w:jc w:val="center"/>
              <w:rPr>
                <w:rFonts w:ascii="宋体" w:hAnsi="宋体"/>
                <w:color w:val="000000"/>
                <w:sz w:val="24"/>
                <w:szCs w:val="24"/>
              </w:rPr>
            </w:pPr>
            <w:r>
              <w:rPr>
                <w:rFonts w:hint="eastAsia" w:ascii="宋体" w:hAnsi="宋体" w:cs="宋体"/>
                <w:kern w:val="0"/>
                <w:sz w:val="24"/>
              </w:rPr>
              <w:t>项目人员配置</w:t>
            </w:r>
          </w:p>
        </w:tc>
        <w:tc>
          <w:tcPr>
            <w:tcW w:w="6778" w:type="dxa"/>
            <w:shd w:val="clear" w:color="auto" w:fill="auto"/>
            <w:vAlign w:val="center"/>
          </w:tcPr>
          <w:p>
            <w:pPr>
              <w:widowControl/>
              <w:spacing w:line="300" w:lineRule="atLeast"/>
              <w:jc w:val="left"/>
              <w:rPr>
                <w:rFonts w:ascii="宋体" w:hAnsi="宋体"/>
                <w:color w:val="000000"/>
                <w:szCs w:val="21"/>
              </w:rPr>
            </w:pPr>
            <w:r>
              <w:rPr>
                <w:rFonts w:hint="eastAsia" w:ascii="宋体" w:hAnsi="宋体"/>
                <w:color w:val="000000"/>
                <w:szCs w:val="21"/>
              </w:rPr>
              <w:t>从项目拟投入人员配置合理，职位分工明确，职责清晰等方面来判定，标准如下：</w:t>
            </w:r>
          </w:p>
          <w:p>
            <w:pPr>
              <w:widowControl/>
              <w:spacing w:line="300" w:lineRule="atLeast"/>
              <w:jc w:val="left"/>
              <w:rPr>
                <w:rFonts w:ascii="宋体" w:hAnsi="宋体"/>
                <w:color w:val="000000"/>
                <w:szCs w:val="21"/>
              </w:rPr>
            </w:pPr>
            <w:r>
              <w:rPr>
                <w:rFonts w:hint="eastAsia" w:ascii="宋体" w:hAnsi="宋体"/>
                <w:color w:val="000000"/>
                <w:szCs w:val="21"/>
              </w:rPr>
              <w:t>1、人员配置合理、职位分工明确，职责清晰得5-7分；</w:t>
            </w:r>
          </w:p>
          <w:p>
            <w:pPr>
              <w:widowControl/>
              <w:spacing w:line="300" w:lineRule="atLeast"/>
              <w:jc w:val="left"/>
              <w:rPr>
                <w:rFonts w:ascii="宋体" w:hAnsi="宋体"/>
                <w:color w:val="000000"/>
                <w:szCs w:val="21"/>
              </w:rPr>
            </w:pPr>
            <w:r>
              <w:rPr>
                <w:rFonts w:hint="eastAsia" w:ascii="宋体" w:hAnsi="宋体"/>
                <w:color w:val="000000"/>
                <w:szCs w:val="21"/>
              </w:rPr>
              <w:t>2、人员配置较为合理，分工较为明确，职责较为清晰得2-4分；</w:t>
            </w:r>
          </w:p>
          <w:p>
            <w:pPr>
              <w:widowControl/>
              <w:spacing w:line="300" w:lineRule="atLeast"/>
              <w:jc w:val="left"/>
              <w:rPr>
                <w:rFonts w:ascii="宋体" w:hAnsi="宋体"/>
                <w:color w:val="000000"/>
                <w:szCs w:val="21"/>
              </w:rPr>
            </w:pPr>
            <w:r>
              <w:rPr>
                <w:rFonts w:hint="eastAsia" w:ascii="宋体" w:hAnsi="宋体"/>
                <w:color w:val="000000"/>
                <w:szCs w:val="21"/>
              </w:rPr>
              <w:t>3、人员配置不合理，职位分工不明确，职责不清晰得0-1分</w:t>
            </w:r>
          </w:p>
        </w:tc>
        <w:tc>
          <w:tcPr>
            <w:tcW w:w="709" w:type="dxa"/>
            <w:shd w:val="clear" w:color="auto" w:fill="auto"/>
            <w:vAlign w:val="center"/>
          </w:tcPr>
          <w:p>
            <w:pPr>
              <w:widowControl/>
              <w:jc w:val="center"/>
              <w:rPr>
                <w:rFonts w:ascii="宋体" w:hAnsi="宋体"/>
                <w:color w:val="000000"/>
                <w:sz w:val="24"/>
              </w:rPr>
            </w:pPr>
            <w:r>
              <w:rPr>
                <w:rFonts w:hint="eastAsia" w:ascii="宋体" w:hAnsi="宋体"/>
                <w:color w:val="000000"/>
                <w:sz w:val="24"/>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303" w:type="dxa"/>
            <w:vMerge w:val="continue"/>
            <w:vAlign w:val="center"/>
          </w:tcPr>
          <w:p>
            <w:pPr>
              <w:widowControl/>
              <w:jc w:val="left"/>
              <w:rPr>
                <w:rFonts w:ascii="宋体" w:hAnsi="宋体"/>
                <w:color w:val="000000"/>
                <w:sz w:val="24"/>
              </w:rPr>
            </w:pPr>
          </w:p>
        </w:tc>
        <w:tc>
          <w:tcPr>
            <w:tcW w:w="1275" w:type="dxa"/>
            <w:vAlign w:val="center"/>
          </w:tcPr>
          <w:p>
            <w:pPr>
              <w:widowControl/>
              <w:jc w:val="center"/>
              <w:rPr>
                <w:rFonts w:ascii="宋体" w:hAnsi="宋体"/>
                <w:color w:val="000000"/>
                <w:szCs w:val="21"/>
              </w:rPr>
            </w:pPr>
            <w:r>
              <w:rPr>
                <w:rFonts w:ascii="Times New Roman" w:hAnsi="Times New Roman"/>
                <w:color w:val="000000"/>
                <w:kern w:val="0"/>
                <w:sz w:val="24"/>
              </w:rPr>
              <w:t>进度保障措施</w:t>
            </w:r>
          </w:p>
        </w:tc>
        <w:tc>
          <w:tcPr>
            <w:tcW w:w="6778" w:type="dxa"/>
            <w:shd w:val="clear" w:color="auto" w:fill="auto"/>
            <w:vAlign w:val="center"/>
          </w:tcPr>
          <w:p>
            <w:pPr>
              <w:widowControl/>
              <w:spacing w:line="300" w:lineRule="atLeast"/>
              <w:jc w:val="left"/>
              <w:rPr>
                <w:rFonts w:ascii="宋体" w:hAnsi="宋体"/>
                <w:color w:val="000000"/>
                <w:szCs w:val="21"/>
              </w:rPr>
            </w:pPr>
            <w:r>
              <w:rPr>
                <w:rFonts w:ascii="宋体" w:hAnsi="宋体"/>
                <w:color w:val="000000"/>
                <w:szCs w:val="21"/>
              </w:rPr>
              <w:t>提出能满足项目需求的项目周期需求，详细缜密的实施计划及节点控制措施，标准如下：</w:t>
            </w:r>
          </w:p>
          <w:p>
            <w:pPr>
              <w:widowControl/>
              <w:spacing w:line="300" w:lineRule="atLeast"/>
              <w:jc w:val="left"/>
              <w:rPr>
                <w:rFonts w:ascii="宋体" w:hAnsi="宋体"/>
                <w:color w:val="000000"/>
                <w:szCs w:val="21"/>
              </w:rPr>
            </w:pPr>
            <w:r>
              <w:rPr>
                <w:rFonts w:ascii="宋体" w:hAnsi="宋体"/>
                <w:color w:val="000000"/>
                <w:szCs w:val="21"/>
              </w:rPr>
              <w:t>1、计划进度安排具体、合理、可行得4-5分；</w:t>
            </w:r>
          </w:p>
          <w:p>
            <w:pPr>
              <w:widowControl/>
              <w:spacing w:line="300" w:lineRule="atLeast"/>
              <w:jc w:val="left"/>
              <w:rPr>
                <w:rFonts w:ascii="宋体" w:hAnsi="宋体"/>
                <w:color w:val="000000"/>
                <w:szCs w:val="21"/>
              </w:rPr>
            </w:pPr>
            <w:r>
              <w:rPr>
                <w:rFonts w:ascii="宋体" w:hAnsi="宋体"/>
                <w:color w:val="000000"/>
                <w:szCs w:val="21"/>
              </w:rPr>
              <w:t>2、计划进度安排较为具体、合理、可行得2-3分；</w:t>
            </w:r>
          </w:p>
          <w:p>
            <w:pPr>
              <w:widowControl/>
              <w:spacing w:line="300" w:lineRule="atLeast"/>
              <w:jc w:val="left"/>
              <w:rPr>
                <w:rFonts w:ascii="宋体" w:hAnsi="宋体"/>
                <w:color w:val="000000"/>
                <w:szCs w:val="21"/>
              </w:rPr>
            </w:pPr>
            <w:r>
              <w:rPr>
                <w:rFonts w:ascii="宋体" w:hAnsi="宋体"/>
                <w:color w:val="000000"/>
                <w:szCs w:val="21"/>
              </w:rPr>
              <w:t>3、计划进度安排粗略、可行性存疑、较难满足项目需求得得0-</w:t>
            </w:r>
            <w:r>
              <w:rPr>
                <w:rFonts w:hint="eastAsia" w:ascii="宋体" w:hAnsi="宋体"/>
                <w:color w:val="000000"/>
                <w:szCs w:val="21"/>
              </w:rPr>
              <w:t>1</w:t>
            </w:r>
            <w:r>
              <w:rPr>
                <w:rFonts w:ascii="宋体" w:hAnsi="宋体"/>
                <w:color w:val="000000"/>
                <w:szCs w:val="21"/>
              </w:rPr>
              <w:t>分；</w:t>
            </w:r>
          </w:p>
        </w:tc>
        <w:tc>
          <w:tcPr>
            <w:tcW w:w="709" w:type="dxa"/>
            <w:shd w:val="clear" w:color="auto" w:fill="auto"/>
            <w:vAlign w:val="center"/>
          </w:tcPr>
          <w:p>
            <w:pPr>
              <w:widowControl/>
              <w:jc w:val="center"/>
              <w:rPr>
                <w:rFonts w:ascii="宋体" w:hAnsi="宋体"/>
                <w:color w:val="000000"/>
                <w:sz w:val="24"/>
              </w:rPr>
            </w:pPr>
            <w:r>
              <w:rPr>
                <w:rFonts w:hint="eastAsia" w:ascii="宋体" w:hAnsi="宋体"/>
                <w:color w:val="000000"/>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303" w:type="dxa"/>
            <w:vAlign w:val="center"/>
          </w:tcPr>
          <w:p>
            <w:pPr>
              <w:widowControl/>
              <w:jc w:val="left"/>
              <w:rPr>
                <w:rFonts w:ascii="宋体" w:hAnsi="宋体"/>
                <w:color w:val="000000"/>
                <w:sz w:val="24"/>
              </w:rPr>
            </w:pPr>
          </w:p>
        </w:tc>
        <w:tc>
          <w:tcPr>
            <w:tcW w:w="1275" w:type="dxa"/>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质量保证及后续</w:t>
            </w:r>
          </w:p>
        </w:tc>
        <w:tc>
          <w:tcPr>
            <w:tcW w:w="6778" w:type="dxa"/>
            <w:shd w:val="clear" w:color="auto" w:fill="auto"/>
            <w:vAlign w:val="center"/>
          </w:tcPr>
          <w:p>
            <w:pPr>
              <w:widowControl/>
              <w:spacing w:line="300" w:lineRule="atLeast"/>
              <w:jc w:val="left"/>
              <w:rPr>
                <w:rFonts w:ascii="宋体" w:hAnsi="宋体"/>
                <w:color w:val="000000"/>
                <w:szCs w:val="21"/>
              </w:rPr>
            </w:pPr>
            <w:r>
              <w:rPr>
                <w:rFonts w:ascii="宋体" w:hAnsi="宋体"/>
                <w:color w:val="000000"/>
                <w:szCs w:val="21"/>
              </w:rPr>
              <w:t>针对项目实际情况，质量保证及后续服务情况</w:t>
            </w:r>
            <w:r>
              <w:rPr>
                <w:rFonts w:hint="eastAsia" w:ascii="宋体" w:hAnsi="宋体"/>
                <w:color w:val="000000"/>
                <w:szCs w:val="21"/>
              </w:rPr>
              <w:t>，标准如下：</w:t>
            </w:r>
          </w:p>
          <w:p>
            <w:pPr>
              <w:widowControl/>
              <w:spacing w:line="300" w:lineRule="atLeast"/>
              <w:jc w:val="left"/>
              <w:rPr>
                <w:rFonts w:ascii="宋体" w:hAnsi="宋体"/>
                <w:color w:val="000000"/>
                <w:szCs w:val="21"/>
              </w:rPr>
            </w:pPr>
            <w:r>
              <w:rPr>
                <w:rFonts w:hint="eastAsia" w:ascii="宋体" w:hAnsi="宋体"/>
                <w:color w:val="000000"/>
                <w:szCs w:val="21"/>
              </w:rPr>
              <w:t>1、</w:t>
            </w:r>
            <w:r>
              <w:rPr>
                <w:rFonts w:ascii="宋体" w:hAnsi="宋体"/>
                <w:color w:val="000000"/>
                <w:szCs w:val="21"/>
              </w:rPr>
              <w:t>质量保证体系完备周全，并具有针对性应对措施，后续服务保障体系健全，与甲方日常配合能高效落实</w:t>
            </w:r>
            <w:r>
              <w:rPr>
                <w:rFonts w:hint="eastAsia" w:ascii="宋体" w:hAnsi="宋体"/>
                <w:color w:val="000000"/>
                <w:szCs w:val="21"/>
              </w:rPr>
              <w:t>得3-5分；</w:t>
            </w:r>
          </w:p>
          <w:p>
            <w:pPr>
              <w:widowControl/>
              <w:spacing w:line="300" w:lineRule="atLeast"/>
              <w:jc w:val="left"/>
            </w:pPr>
            <w:r>
              <w:rPr>
                <w:rFonts w:hint="eastAsia" w:ascii="宋体" w:hAnsi="宋体"/>
                <w:color w:val="000000"/>
                <w:szCs w:val="21"/>
              </w:rPr>
              <w:t>2、</w:t>
            </w:r>
            <w:r>
              <w:rPr>
                <w:rFonts w:ascii="宋体" w:hAnsi="宋体"/>
                <w:color w:val="000000"/>
                <w:szCs w:val="21"/>
              </w:rPr>
              <w:t>质量保证体系</w:t>
            </w:r>
            <w:r>
              <w:rPr>
                <w:rFonts w:hint="eastAsia" w:ascii="宋体" w:hAnsi="宋体"/>
                <w:color w:val="000000"/>
                <w:szCs w:val="21"/>
              </w:rPr>
              <w:t>一般</w:t>
            </w:r>
            <w:r>
              <w:rPr>
                <w:rFonts w:ascii="宋体" w:hAnsi="宋体"/>
                <w:color w:val="000000"/>
                <w:szCs w:val="21"/>
              </w:rPr>
              <w:t>，针对性</w:t>
            </w:r>
            <w:r>
              <w:rPr>
                <w:rFonts w:hint="eastAsia" w:ascii="宋体" w:hAnsi="宋体"/>
                <w:color w:val="000000"/>
                <w:szCs w:val="21"/>
              </w:rPr>
              <w:t>不强</w:t>
            </w:r>
            <w:r>
              <w:rPr>
                <w:rFonts w:ascii="宋体" w:hAnsi="宋体"/>
                <w:color w:val="000000"/>
                <w:szCs w:val="21"/>
              </w:rPr>
              <w:t>，后续服务保障体系健全</w:t>
            </w:r>
            <w:r>
              <w:rPr>
                <w:rFonts w:hint="eastAsia" w:ascii="宋体" w:hAnsi="宋体"/>
                <w:color w:val="000000"/>
                <w:szCs w:val="21"/>
              </w:rPr>
              <w:t>度一般</w:t>
            </w:r>
            <w:r>
              <w:rPr>
                <w:rFonts w:ascii="宋体" w:hAnsi="宋体"/>
                <w:color w:val="000000"/>
                <w:szCs w:val="21"/>
              </w:rPr>
              <w:t>，与甲方日常配合</w:t>
            </w:r>
            <w:r>
              <w:rPr>
                <w:rFonts w:hint="eastAsia" w:ascii="宋体" w:hAnsi="宋体"/>
                <w:color w:val="000000"/>
                <w:szCs w:val="21"/>
              </w:rPr>
              <w:t>一般得0-2分</w:t>
            </w:r>
          </w:p>
        </w:tc>
        <w:tc>
          <w:tcPr>
            <w:tcW w:w="709" w:type="dxa"/>
            <w:shd w:val="clear" w:color="auto" w:fill="auto"/>
            <w:vAlign w:val="center"/>
          </w:tcPr>
          <w:p>
            <w:pPr>
              <w:widowControl/>
              <w:jc w:val="center"/>
              <w:rPr>
                <w:rFonts w:ascii="宋体" w:hAnsi="宋体"/>
                <w:color w:val="000000"/>
                <w:sz w:val="24"/>
              </w:rPr>
            </w:pPr>
            <w:r>
              <w:rPr>
                <w:rFonts w:hint="eastAsia" w:ascii="宋体" w:hAnsi="宋体"/>
                <w:color w:val="000000"/>
                <w:sz w:val="24"/>
              </w:rPr>
              <w:t>5分</w:t>
            </w:r>
          </w:p>
        </w:tc>
      </w:tr>
    </w:tbl>
    <w:p>
      <w:pPr>
        <w:adjustRightInd w:val="0"/>
        <w:snapToGrid w:val="0"/>
        <w:spacing w:line="360" w:lineRule="auto"/>
        <w:outlineLvl w:val="0"/>
        <w:rPr>
          <w:rFonts w:ascii="Times New Roman" w:hAnsi="Times New Roman" w:cs="Times New Roman"/>
          <w:b/>
          <w:sz w:val="24"/>
          <w:szCs w:val="24"/>
        </w:rPr>
      </w:pPr>
    </w:p>
    <w:p>
      <w:pPr>
        <w:adjustRightInd w:val="0"/>
        <w:snapToGrid w:val="0"/>
        <w:spacing w:line="360" w:lineRule="auto"/>
        <w:outlineLvl w:val="0"/>
        <w:rPr>
          <w:rFonts w:ascii="Times New Roman" w:hAnsi="Times New Roman" w:cs="Times New Roman"/>
          <w:b/>
          <w:sz w:val="24"/>
          <w:szCs w:val="24"/>
        </w:rPr>
      </w:pPr>
      <w:r>
        <w:rPr>
          <w:rFonts w:hint="eastAsia" w:ascii="Times New Roman" w:hAnsi="Times New Roman" w:cs="Times New Roman"/>
          <w:b/>
          <w:sz w:val="24"/>
          <w:szCs w:val="24"/>
        </w:rPr>
        <w:t>备注：</w:t>
      </w:r>
    </w:p>
    <w:p>
      <w:pPr>
        <w:adjustRightInd w:val="0"/>
        <w:snapToGrid w:val="0"/>
        <w:spacing w:line="360" w:lineRule="auto"/>
        <w:outlineLvl w:val="0"/>
        <w:rPr>
          <w:rFonts w:ascii="Times New Roman" w:hAnsi="Times New Roman" w:cs="Times New Roman"/>
          <w:sz w:val="24"/>
          <w:szCs w:val="24"/>
        </w:rPr>
      </w:pPr>
      <w:r>
        <w:rPr>
          <w:rFonts w:hint="eastAsia" w:ascii="Times New Roman" w:hAnsi="Times New Roman" w:cs="Times New Roman"/>
          <w:sz w:val="24"/>
          <w:szCs w:val="24"/>
        </w:rPr>
        <w:t>1.商务标计算按报价人最终报价计算。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证明材料需提供真彩扫描打印件。</w:t>
      </w:r>
    </w:p>
    <w:p>
      <w:pPr>
        <w:adjustRightInd w:val="0"/>
        <w:snapToGrid w:val="0"/>
        <w:spacing w:line="360" w:lineRule="auto"/>
        <w:outlineLvl w:val="0"/>
        <w:rPr>
          <w:rFonts w:ascii="Times New Roman" w:hAnsi="Times New Roman" w:cs="Times New Roman"/>
          <w:sz w:val="24"/>
          <w:szCs w:val="24"/>
        </w:rPr>
      </w:pPr>
      <w:r>
        <w:rPr>
          <w:rFonts w:hint="eastAsia" w:ascii="Times New Roman" w:hAnsi="Times New Roman" w:cs="Times New Roman"/>
          <w:sz w:val="24"/>
          <w:szCs w:val="24"/>
        </w:rPr>
        <w:t>2. 如供应商的最终报价低于项目采购预算的 80%，磋商小组可启动磋商报价低于成本问询程序：要求供应商作出书面说明并提供相关证明材料，如供应商在 30 分钟内无法提供或者磋商小组认为报价低于成本价时，磋商小组应当将其视为无效投标。</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line="360" w:lineRule="auto"/>
        <w:jc w:val="center"/>
        <w:outlineLvl w:val="0"/>
        <w:rPr>
          <w:rFonts w:ascii="Times New Roman" w:hAnsi="Times New Roman" w:cs="Times New Roman"/>
          <w:bCs/>
          <w:sz w:val="32"/>
          <w:szCs w:val="32"/>
        </w:rPr>
      </w:pPr>
      <w:r>
        <w:rPr>
          <w:rFonts w:ascii="Times New Roman" w:hAnsi="Times New Roman" w:cs="Times New Roman"/>
          <w:b/>
          <w:sz w:val="32"/>
          <w:szCs w:val="32"/>
        </w:rPr>
        <w:t>第五章 合同书（参考格式）</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kern w:val="0"/>
          <w:sz w:val="24"/>
          <w:szCs w:val="24"/>
        </w:rPr>
      </w:pPr>
    </w:p>
    <w:p>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pPr>
        <w:pStyle w:val="2"/>
      </w:pP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ascii="Times New Roman" w:hAnsi="Times New Roman" w:cs="Times New Roman"/>
          <w:kern w:val="0"/>
          <w:sz w:val="24"/>
          <w:szCs w:val="24"/>
        </w:rPr>
        <w:t>供　　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ascii="Times New Roman" w:hAnsi="Times New Roman" w:cs="Times New Roman"/>
          <w:kern w:val="0"/>
          <w:sz w:val="24"/>
          <w:szCs w:val="24"/>
        </w:rPr>
        <w:t>单位名称（盖章）：</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ascii="Times New Roman" w:hAnsi="Times New Roman" w:cs="Times New Roman"/>
          <w:kern w:val="0"/>
          <w:sz w:val="24"/>
          <w:szCs w:val="24"/>
        </w:rPr>
        <w:t>单位地址：</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ascii="Times New Roman" w:hAnsi="Times New Roman" w:cs="Times New Roman"/>
          <w:kern w:val="0"/>
          <w:sz w:val="24"/>
          <w:szCs w:val="24"/>
        </w:rPr>
        <w:t>联系人：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ascii="Times New Roman" w:hAnsi="Times New Roman" w:cs="Times New Roman"/>
          <w:kern w:val="0"/>
          <w:sz w:val="24"/>
          <w:szCs w:val="24"/>
        </w:rPr>
        <w:t>电　　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ascii="Times New Roman" w:hAnsi="Times New Roman" w:cs="Times New Roman"/>
          <w:kern w:val="0"/>
          <w:sz w:val="24"/>
          <w:szCs w:val="24"/>
        </w:rPr>
        <w:t>传　　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ascii="Times New Roman" w:hAnsi="Times New Roman" w:cs="Times New Roman"/>
          <w:kern w:val="0"/>
          <w:sz w:val="24"/>
          <w:szCs w:val="24"/>
        </w:rPr>
        <w:t>邮政编码：</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ascii="Times New Roman" w:hAnsi="Times New Roman" w:cs="Times New Roman"/>
          <w:kern w:val="0"/>
          <w:sz w:val="24"/>
          <w:szCs w:val="24"/>
        </w:rPr>
        <w:t>开户银行：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ascii="Times New Roman" w:hAnsi="Times New Roman" w:cs="Times New Roman"/>
          <w:kern w:val="0"/>
          <w:sz w:val="24"/>
          <w:szCs w:val="24"/>
        </w:rPr>
        <w:t>帐　　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ascii="Times New Roman" w:hAnsi="Times New Roman" w:cs="Times New Roman"/>
          <w:kern w:val="0"/>
          <w:sz w:val="24"/>
          <w:szCs w:val="24"/>
        </w:rPr>
        <w:t>税　　号：</w:t>
      </w:r>
    </w:p>
    <w:p>
      <w:pPr>
        <w:widowControl/>
        <w:spacing w:line="360" w:lineRule="auto"/>
        <w:jc w:val="left"/>
        <w:rPr>
          <w:rFonts w:ascii="Times New Roman" w:hAnsi="Times New Roman" w:cs="Times New Roman"/>
          <w:b/>
          <w:sz w:val="24"/>
          <w:szCs w:val="24"/>
        </w:rPr>
      </w:pP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第六章 响应文件格式</w:t>
      </w:r>
    </w:p>
    <w:p>
      <w:pPr>
        <w:adjustRightInd w:val="0"/>
        <w:snapToGrid w:val="0"/>
        <w:spacing w:line="360" w:lineRule="auto"/>
        <w:jc w:val="center"/>
        <w:outlineLvl w:val="0"/>
        <w:rPr>
          <w:rFonts w:ascii="Times New Roman" w:hAnsi="Times New Roman" w:cs="Times New Roman"/>
          <w:b/>
          <w:sz w:val="18"/>
          <w:szCs w:val="18"/>
        </w:rPr>
      </w:pPr>
    </w:p>
    <w:p>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pPr>
        <w:tabs>
          <w:tab w:val="left" w:pos="1260"/>
        </w:tabs>
        <w:spacing w:line="360" w:lineRule="auto"/>
        <w:jc w:val="center"/>
        <w:rPr>
          <w:rFonts w:ascii="Times New Roman" w:hAnsi="Times New Roman" w:eastAsia="宋体" w:cs="Times New Roman"/>
          <w:b/>
          <w:bCs/>
          <w:spacing w:val="100"/>
          <w:w w:val="110"/>
          <w:sz w:val="36"/>
          <w:szCs w:val="36"/>
        </w:rPr>
      </w:pPr>
    </w:p>
    <w:p>
      <w:pPr>
        <w:tabs>
          <w:tab w:val="left" w:pos="1260"/>
        </w:tabs>
        <w:spacing w:line="360" w:lineRule="auto"/>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spacing w:line="360" w:lineRule="auto"/>
        <w:jc w:val="center"/>
        <w:rPr>
          <w:rFonts w:ascii="Times New Roman" w:hAnsi="Times New Roman" w:eastAsia="宋体" w:cs="Times New Roman"/>
          <w:spacing w:val="100"/>
          <w:w w:val="110"/>
          <w:sz w:val="100"/>
          <w:szCs w:val="100"/>
        </w:rPr>
      </w:pPr>
      <w:r>
        <w:rPr>
          <w:rFonts w:hint="eastAsia" w:ascii="Times New Roman" w:hAnsi="Times New Roman" w:eastAsia="宋体" w:cs="Times New Roman"/>
          <w:bCs/>
          <w:spacing w:val="100"/>
          <w:w w:val="110"/>
          <w:sz w:val="100"/>
          <w:szCs w:val="100"/>
        </w:rPr>
        <w:t>磋商</w:t>
      </w:r>
      <w:r>
        <w:rPr>
          <w:rFonts w:ascii="Times New Roman" w:hAnsi="Times New Roman" w:eastAsia="宋体" w:cs="Times New Roman"/>
          <w:bCs/>
          <w:spacing w:val="100"/>
          <w:w w:val="110"/>
          <w:sz w:val="100"/>
          <w:szCs w:val="100"/>
        </w:rPr>
        <w:t>响应文件</w:t>
      </w:r>
    </w:p>
    <w:p>
      <w:pPr>
        <w:spacing w:line="360" w:lineRule="auto"/>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spacing w:line="360" w:lineRule="auto"/>
        <w:jc w:val="center"/>
        <w:rPr>
          <w:rFonts w:ascii="Times New Roman" w:hAnsi="Times New Roman" w:eastAsia="宋体" w:cs="Times New Roman"/>
          <w:sz w:val="44"/>
          <w:szCs w:val="21"/>
        </w:rPr>
      </w:pPr>
    </w:p>
    <w:p>
      <w:pPr>
        <w:spacing w:line="360" w:lineRule="auto"/>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磋商内容：</w:t>
      </w:r>
    </w:p>
    <w:p>
      <w:pPr>
        <w:spacing w:line="360" w:lineRule="auto"/>
        <w:ind w:firstLine="1280" w:firstLineChars="400"/>
        <w:rPr>
          <w:rFonts w:ascii="Times New Roman" w:hAnsi="Times New Roman" w:eastAsia="宋体" w:cs="Times New Roman"/>
          <w:sz w:val="32"/>
          <w:szCs w:val="32"/>
          <w:u w:val="single"/>
        </w:rPr>
      </w:pPr>
    </w:p>
    <w:p>
      <w:pPr>
        <w:spacing w:line="360" w:lineRule="auto"/>
        <w:jc w:val="center"/>
        <w:rPr>
          <w:rFonts w:ascii="Times New Roman" w:hAnsi="Times New Roman" w:eastAsia="宋体" w:cs="Times New Roman"/>
          <w:sz w:val="144"/>
          <w:szCs w:val="144"/>
        </w:rPr>
      </w:pPr>
      <w:r>
        <w:rPr>
          <w:rFonts w:ascii="Times New Roman" w:hAnsi="Times New Roman" w:eastAsia="宋体" w:cs="Times New Roman"/>
          <w:sz w:val="144"/>
          <w:szCs w:val="144"/>
        </w:rPr>
        <w:t>供应商名称</w:t>
      </w:r>
      <w:r>
        <w:rPr>
          <w:rFonts w:hint="eastAsia" w:ascii="Times New Roman" w:hAnsi="Times New Roman" w:eastAsia="宋体" w:cs="Times New Roman"/>
          <w:sz w:val="144"/>
          <w:szCs w:val="144"/>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  月  日</w:t>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r>
        <w:rPr>
          <w:rFonts w:ascii="Times New Roman" w:hAnsi="Times New Roman" w:cs="Times New Roman"/>
          <w:bCs/>
          <w:sz w:val="24"/>
          <w:szCs w:val="24"/>
        </w:rPr>
        <w:t>附件1</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 商 书</w:t>
      </w:r>
    </w:p>
    <w:p>
      <w:pPr>
        <w:spacing w:line="360" w:lineRule="auto"/>
        <w:ind w:left="-88" w:leftChars="-42"/>
        <w:rPr>
          <w:rFonts w:ascii="Times New Roman" w:hAnsi="Times New Roman" w:eastAsia="仿宋_GB2312" w:cs="Times New Roman"/>
          <w:sz w:val="24"/>
          <w:szCs w:val="24"/>
        </w:rPr>
      </w:pPr>
    </w:p>
    <w:p>
      <w:pPr>
        <w:spacing w:line="360" w:lineRule="auto"/>
        <w:rPr>
          <w:rFonts w:ascii="Times New Roman" w:hAnsi="Times New Roman" w:eastAsia="宋体" w:cs="Times New Roman"/>
          <w:color w:val="FF0000"/>
          <w:sz w:val="24"/>
          <w:szCs w:val="24"/>
        </w:rPr>
      </w:pPr>
      <w:r>
        <w:rPr>
          <w:rFonts w:ascii="Times New Roman" w:hAnsi="Times New Roman" w:eastAsia="宋体" w:cs="Times New Roman"/>
          <w:sz w:val="24"/>
          <w:szCs w:val="24"/>
        </w:rPr>
        <w:t>致：</w:t>
      </w: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（项目名称/项目编号）</w:t>
      </w:r>
      <w:r>
        <w:rPr>
          <w:rFonts w:ascii="Times New Roman" w:hAnsi="Times New Roman" w:eastAsia="宋体" w:cs="Times New Roman"/>
          <w:sz w:val="24"/>
          <w:szCs w:val="24"/>
        </w:rPr>
        <w:t>项目政府采购的磋商邀请，</w:t>
      </w:r>
      <w:r>
        <w:rPr>
          <w:rFonts w:ascii="Times New Roman" w:hAnsi="Times New Roman" w:eastAsia="宋体" w:cs="Times New Roman"/>
          <w:sz w:val="24"/>
          <w:szCs w:val="24"/>
          <w:u w:val="single"/>
        </w:rPr>
        <w:t>签字代表</w:t>
      </w:r>
      <w:r>
        <w:rPr>
          <w:rFonts w:ascii="Times New Roman" w:hAnsi="Times New Roman" w:eastAsia="宋体" w:cs="Times New Roman"/>
          <w:sz w:val="24"/>
          <w:szCs w:val="24"/>
        </w:rPr>
        <w:t>（姓名和职务）经正式授权并代表供应商</w:t>
      </w:r>
      <w:r>
        <w:rPr>
          <w:rFonts w:ascii="Times New Roman" w:hAnsi="Times New Roman" w:eastAsia="宋体" w:cs="Times New Roman"/>
          <w:sz w:val="24"/>
          <w:szCs w:val="24"/>
          <w:u w:val="single"/>
        </w:rPr>
        <w:t>（供应商名称、地址）</w:t>
      </w:r>
      <w:r>
        <w:rPr>
          <w:rFonts w:ascii="Times New Roman" w:hAnsi="Times New Roman" w:eastAsia="宋体" w:cs="Times New Roman"/>
          <w:sz w:val="24"/>
          <w:szCs w:val="24"/>
        </w:rPr>
        <w:t>提交下述响应文件正本一份、副本二份、电子文件一份。</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1）磋商书 (附件1) ；</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2）报价组成情况表(附件2) ；</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3）货物（服务）清单(附件3)；</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4）资格性符合性检查对照表(附件4)；</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5）技术响应、偏离情况说明表(附件5)；</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6）合同草案条款响应、偏离情况说明表（附件6）；</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7）法人（负责人）代表授权书（附件7）；</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8）法人或者其他组织的营业执照等证明文件，自然人的身份证明(附件8)；</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9）财务状况报告，依法缴纳税收和社会保障资金的相关材料(附件9)；</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10）具备履行合同所必需的设备和专业技术能力的证明材料(附件10)；</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11）参加政府采购活动前3年内在经营活动中没有重大违法记录的书面声明(附件11)；</w:t>
      </w:r>
    </w:p>
    <w:p>
      <w:pPr>
        <w:spacing w:line="360" w:lineRule="auto"/>
        <w:ind w:firstLine="480"/>
        <w:rPr>
          <w:rFonts w:ascii="Times New Roman" w:hAnsi="Times New Roman" w:eastAsia="宋体" w:cs="Times New Roman"/>
          <w:sz w:val="24"/>
          <w:szCs w:val="24"/>
        </w:rPr>
      </w:pPr>
      <w:r>
        <w:rPr>
          <w:rFonts w:hint="eastAsia"/>
          <w:bCs/>
          <w:color w:val="000000" w:themeColor="text1"/>
          <w:sz w:val="24"/>
        </w:rPr>
        <w:t>12）未被列入“信用中国”网站(www.creditchina. gov.cn)失信被执行人、重大税收违法案件当事人名单、政府采购严重违法失信行为记录名单的网页打印件(附件12)。</w:t>
      </w:r>
    </w:p>
    <w:p>
      <w:pPr>
        <w:spacing w:line="360" w:lineRule="auto"/>
        <w:ind w:firstLine="480"/>
        <w:rPr>
          <w:rFonts w:ascii="Times New Roman" w:hAnsi="Times New Roman" w:eastAsia="宋体" w:cs="Times New Roman"/>
          <w:sz w:val="24"/>
          <w:szCs w:val="24"/>
        </w:rPr>
      </w:pPr>
      <w:r>
        <w:rPr>
          <w:rFonts w:hint="eastAsia"/>
          <w:bCs/>
          <w:color w:val="000000" w:themeColor="text1"/>
          <w:sz w:val="24"/>
        </w:rPr>
        <w:t>13）《中小企业声明函》、《残疾人福利性单位声明函》、属于监狱企业的证明文件等（如果有的话）(附件13)。</w:t>
      </w:r>
    </w:p>
    <w:p>
      <w:pPr>
        <w:spacing w:line="360" w:lineRule="auto"/>
        <w:ind w:firstLine="480"/>
        <w:rPr>
          <w:rFonts w:ascii="Times New Roman" w:hAnsi="Times New Roman" w:eastAsia="宋体" w:cs="Times New Roman"/>
          <w:sz w:val="24"/>
          <w:szCs w:val="24"/>
        </w:rPr>
      </w:pPr>
      <w:r>
        <w:rPr>
          <w:rFonts w:hint="eastAsia"/>
          <w:b/>
          <w:bCs/>
          <w:color w:val="000000" w:themeColor="text1"/>
          <w:sz w:val="24"/>
        </w:rPr>
        <w:t>本文件要求提供的其他资格证明文件及资料。</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在此，我方宣布同意如下：</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 将按磋商文件的规定履行合同责任和义务；</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2. 已详细审查全部磋商文件，包括第（编号、补遗书）（如果有的话）；我们完全理解并同意放弃对这方面有不明及误解的权力；</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 本响应文件有效期为自磋商之日起个日历日；</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4. 同意提供按照贵方可能要求的与其磋商有关的一切数据或资料；</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 与本磋商有关的一切正式往来信函请寄：</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地址：</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电话/传真：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电子信箱：</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供应商（授权）代表签字：</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供应商名称（公章）：</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日期：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spacing w:line="360" w:lineRule="auto"/>
        <w:ind w:left="480" w:hanging="480"/>
        <w:rPr>
          <w:rFonts w:ascii="Times New Roman" w:hAnsi="Times New Roman" w:eastAsia="宋体" w:cs="Times New Roman"/>
          <w:bCs/>
          <w:sz w:val="24"/>
          <w:szCs w:val="24"/>
        </w:rPr>
      </w:pPr>
      <w:r>
        <w:rPr>
          <w:rFonts w:ascii="Times New Roman" w:hAnsi="Times New Roman" w:cs="Times New Roman"/>
          <w:bCs/>
          <w:sz w:val="24"/>
          <w:szCs w:val="24"/>
        </w:rPr>
        <w:t>附件2</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报价组成情况表</w:t>
      </w:r>
    </w:p>
    <w:p>
      <w:pPr>
        <w:spacing w:line="360" w:lineRule="auto"/>
        <w:rPr>
          <w:rFonts w:ascii="Times New Roman" w:hAnsi="Times New Roman" w:cs="Times New Roman"/>
          <w:color w:val="000000"/>
          <w:sz w:val="24"/>
          <w:u w:val="single"/>
        </w:rPr>
      </w:pPr>
      <w:r>
        <w:rPr>
          <w:rFonts w:ascii="Times New Roman" w:hAnsi="Times New Roman" w:cs="Times New Roman"/>
          <w:color w:val="000000"/>
          <w:sz w:val="24"/>
        </w:rPr>
        <w:t>项目编号（包号）：</w:t>
      </w:r>
    </w:p>
    <w:p>
      <w:pPr>
        <w:spacing w:line="360" w:lineRule="auto"/>
        <w:rPr>
          <w:rFonts w:ascii="Times New Roman" w:hAnsi="Times New Roman" w:eastAsia="仿宋_GB2312" w:cs="Times New Roman"/>
          <w:color w:val="000000"/>
          <w:sz w:val="24"/>
          <w:u w:val="single"/>
        </w:rPr>
      </w:pPr>
      <w:r>
        <w:rPr>
          <w:rFonts w:ascii="Times New Roman" w:hAnsi="Times New Roman" w:cs="Times New Roman"/>
          <w:color w:val="000000"/>
          <w:sz w:val="24"/>
        </w:rPr>
        <w:t>项目名称：</w:t>
      </w:r>
    </w:p>
    <w:tbl>
      <w:tblPr>
        <w:tblStyle w:val="10"/>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序号</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名称（服务）</w:t>
            </w:r>
          </w:p>
        </w:tc>
        <w:tc>
          <w:tcPr>
            <w:tcW w:w="1237"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规格型号</w:t>
            </w:r>
          </w:p>
        </w:tc>
        <w:tc>
          <w:tcPr>
            <w:tcW w:w="805"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数量</w:t>
            </w:r>
          </w:p>
        </w:tc>
        <w:tc>
          <w:tcPr>
            <w:tcW w:w="1654"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制造商名称</w:t>
            </w:r>
          </w:p>
        </w:tc>
        <w:tc>
          <w:tcPr>
            <w:tcW w:w="913"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单价</w:t>
            </w:r>
          </w:p>
        </w:tc>
        <w:tc>
          <w:tcPr>
            <w:tcW w:w="1136"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1</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2</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3</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4</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5</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hint="eastAsia" w:ascii="Times New Roman" w:hAnsi="Times New Roman" w:cs="Times New Roman"/>
                <w:sz w:val="24"/>
              </w:rPr>
              <w:t>6</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其它</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hint="eastAsia" w:ascii="Times New Roman" w:hAnsi="Times New Roman" w:cs="Times New Roman"/>
                <w:sz w:val="24"/>
              </w:rPr>
              <w:t>7</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总计</w:t>
            </w:r>
          </w:p>
        </w:tc>
        <w:tc>
          <w:tcPr>
            <w:tcW w:w="2049" w:type="dxa"/>
            <w:gridSpan w:val="2"/>
            <w:vAlign w:val="center"/>
          </w:tcPr>
          <w:p>
            <w:pPr>
              <w:adjustRightInd w:val="0"/>
              <w:snapToGrid w:val="0"/>
              <w:spacing w:line="360" w:lineRule="auto"/>
              <w:jc w:val="center"/>
              <w:rPr>
                <w:rFonts w:ascii="Times New Roman" w:hAnsi="Times New Roman" w:cs="Times New Roman"/>
                <w:sz w:val="24"/>
              </w:rPr>
            </w:pPr>
          </w:p>
        </w:tc>
      </w:tr>
    </w:tbl>
    <w:p>
      <w:pPr>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注：</w:t>
      </w:r>
      <w:r>
        <w:rPr>
          <w:rFonts w:ascii="Times New Roman" w:hAnsi="Times New Roman" w:cs="Times New Roman"/>
          <w:color w:val="FF0000"/>
          <w:sz w:val="24"/>
          <w:szCs w:val="24"/>
        </w:rPr>
        <w:t>本表仅作为磋商小组了解报价组成情况，不作为最终成交价</w:t>
      </w:r>
      <w:r>
        <w:rPr>
          <w:rFonts w:ascii="Times New Roman" w:hAnsi="Times New Roman" w:cs="Times New Roman"/>
          <w:sz w:val="24"/>
          <w:szCs w:val="24"/>
        </w:rPr>
        <w:t>。</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t>附件3</w:t>
      </w:r>
    </w:p>
    <w:p>
      <w:pPr>
        <w:widowControl/>
        <w:spacing w:line="360" w:lineRule="auto"/>
        <w:jc w:val="center"/>
        <w:rPr>
          <w:rFonts w:ascii="Times New Roman" w:hAnsi="Times New Roman" w:cs="Times New Roman"/>
          <w:sz w:val="32"/>
          <w:szCs w:val="32"/>
        </w:rPr>
      </w:pPr>
      <w:r>
        <w:rPr>
          <w:rFonts w:ascii="Times New Roman" w:hAnsi="Times New Roman" w:cs="Times New Roman"/>
          <w:sz w:val="32"/>
          <w:szCs w:val="32"/>
        </w:rPr>
        <w:t>货物（服务）清单</w:t>
      </w:r>
    </w:p>
    <w:p>
      <w:pPr>
        <w:spacing w:line="360" w:lineRule="auto"/>
        <w:rPr>
          <w:rFonts w:ascii="Times New Roman" w:hAnsi="Times New Roman" w:cs="Times New Roman"/>
          <w:color w:val="000000"/>
          <w:sz w:val="24"/>
        </w:rPr>
      </w:pPr>
    </w:p>
    <w:p>
      <w:pPr>
        <w:spacing w:line="360" w:lineRule="auto"/>
        <w:rPr>
          <w:rFonts w:ascii="Times New Roman" w:hAnsi="Times New Roman" w:cs="Times New Roman"/>
          <w:color w:val="000000"/>
          <w:sz w:val="24"/>
        </w:rPr>
      </w:pPr>
      <w:r>
        <w:rPr>
          <w:rFonts w:ascii="Times New Roman" w:hAnsi="Times New Roman" w:cs="Times New Roman"/>
          <w:color w:val="000000"/>
          <w:sz w:val="24"/>
        </w:rPr>
        <w:t>项目编号（包号）：</w:t>
      </w:r>
    </w:p>
    <w:p>
      <w:pPr>
        <w:spacing w:line="360" w:lineRule="auto"/>
        <w:rPr>
          <w:rFonts w:ascii="Times New Roman" w:hAnsi="Times New Roman" w:cs="Times New Roman"/>
          <w:b/>
          <w:bCs/>
          <w:color w:val="000000"/>
          <w:sz w:val="32"/>
          <w:szCs w:val="32"/>
        </w:rPr>
      </w:pPr>
      <w:r>
        <w:rPr>
          <w:rFonts w:ascii="Times New Roman" w:hAnsi="Times New Roman" w:cs="Times New Roman"/>
          <w:color w:val="000000"/>
          <w:sz w:val="24"/>
        </w:rPr>
        <w:t>项目名称：</w:t>
      </w:r>
    </w:p>
    <w:tbl>
      <w:tblPr>
        <w:tblStyle w:val="10"/>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序号</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货物（服务）名称</w:t>
            </w: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制造商名称</w:t>
            </w: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生产地</w:t>
            </w:r>
          </w:p>
        </w:tc>
        <w:tc>
          <w:tcPr>
            <w:tcW w:w="1701"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规格型号</w:t>
            </w:r>
          </w:p>
        </w:tc>
        <w:tc>
          <w:tcPr>
            <w:tcW w:w="1134"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1</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2</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3</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4</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5</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6</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7</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8</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bl>
    <w:p>
      <w:pPr>
        <w:spacing w:line="360" w:lineRule="auto"/>
        <w:ind w:firstLine="480" w:firstLineChars="200"/>
        <w:rPr>
          <w:rFonts w:ascii="Times New Roman" w:hAnsi="Times New Roman" w:cs="Times New Roman"/>
          <w:color w:val="000000"/>
        </w:rPr>
      </w:pPr>
      <w:r>
        <w:rPr>
          <w:rFonts w:ascii="Times New Roman" w:hAnsi="Times New Roman" w:cs="Times New Roman"/>
          <w:sz w:val="24"/>
        </w:rPr>
        <w:t>说明：提供详细的货物和服务范围，包括货物和服务类别及制造（开发）商、备品备件等。</w:t>
      </w:r>
    </w:p>
    <w:p>
      <w:pPr>
        <w:spacing w:line="360" w:lineRule="auto"/>
        <w:rPr>
          <w:rFonts w:ascii="Times New Roman" w:hAnsi="Times New Roman" w:eastAsia="仿宋_GB2312" w:cs="Times New Roman"/>
          <w:color w:val="000000"/>
          <w:sz w:val="24"/>
        </w:rPr>
      </w:pPr>
    </w:p>
    <w:p>
      <w:pPr>
        <w:pStyle w:val="5"/>
        <w:spacing w:line="36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5"/>
        <w:spacing w:line="36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pStyle w:val="5"/>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时间：</w:t>
      </w:r>
    </w:p>
    <w:p>
      <w:pPr>
        <w:widowControl/>
        <w:spacing w:line="360" w:lineRule="auto"/>
        <w:jc w:val="left"/>
        <w:rPr>
          <w:rFonts w:ascii="Times New Roman" w:hAnsi="Times New Roman" w:cs="Times New Roman"/>
          <w:sz w:val="32"/>
          <w:szCs w:val="32"/>
        </w:rPr>
      </w:pPr>
    </w:p>
    <w:p>
      <w:pPr>
        <w:widowControl/>
        <w:spacing w:line="360" w:lineRule="auto"/>
        <w:jc w:val="left"/>
        <w:rPr>
          <w:rFonts w:ascii="Times New Roman" w:hAnsi="Times New Roman" w:cs="Times New Roman"/>
          <w:sz w:val="32"/>
          <w:szCs w:val="32"/>
        </w:rPr>
      </w:pPr>
      <w:r>
        <w:rPr>
          <w:rFonts w:ascii="Times New Roman" w:hAnsi="Times New Roman" w:cs="Times New Roman"/>
          <w:sz w:val="32"/>
          <w:szCs w:val="32"/>
        </w:rPr>
        <w:br w:type="page"/>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附件4</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资格性符合性检查对照表</w:t>
      </w:r>
    </w:p>
    <w:p>
      <w:pPr>
        <w:spacing w:line="360" w:lineRule="auto"/>
        <w:rPr>
          <w:rFonts w:ascii="Times New Roman" w:hAnsi="Times New Roman" w:cs="Times New Roman"/>
          <w:sz w:val="24"/>
          <w:szCs w:val="24"/>
          <w:u w:val="single"/>
        </w:rPr>
      </w:pPr>
      <w:r>
        <w:rPr>
          <w:rFonts w:ascii="Times New Roman" w:hAnsi="Times New Roman" w:cs="Times New Roman"/>
          <w:color w:val="000000"/>
          <w:sz w:val="24"/>
        </w:rPr>
        <w:t>项目编号（包号）</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序号</w:t>
            </w:r>
          </w:p>
        </w:tc>
        <w:tc>
          <w:tcPr>
            <w:tcW w:w="4175"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资格性符合性检查内容</w:t>
            </w:r>
          </w:p>
        </w:tc>
        <w:tc>
          <w:tcPr>
            <w:tcW w:w="1274" w:type="dxa"/>
            <w:vAlign w:val="center"/>
          </w:tcPr>
          <w:p>
            <w:pPr>
              <w:spacing w:line="360" w:lineRule="auto"/>
              <w:ind w:left="-5" w:leftChars="-51" w:hanging="102" w:hangingChars="51"/>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响应文件响应情况</w:t>
            </w:r>
          </w:p>
        </w:tc>
        <w:tc>
          <w:tcPr>
            <w:tcW w:w="1104" w:type="dxa"/>
            <w:vAlign w:val="center"/>
          </w:tcPr>
          <w:p>
            <w:pPr>
              <w:spacing w:line="360" w:lineRule="auto"/>
              <w:ind w:left="-5" w:leftChars="-51" w:hanging="102" w:hangingChars="51"/>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偏离情况说明</w:t>
            </w:r>
          </w:p>
        </w:tc>
        <w:tc>
          <w:tcPr>
            <w:tcW w:w="1549" w:type="dxa"/>
            <w:vAlign w:val="center"/>
          </w:tcPr>
          <w:p>
            <w:pPr>
              <w:spacing w:line="360" w:lineRule="auto"/>
              <w:ind w:left="-5" w:leftChars="-51" w:hanging="102" w:hangingChars="51"/>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w:t>
            </w:r>
          </w:p>
        </w:tc>
        <w:tc>
          <w:tcPr>
            <w:tcW w:w="4175" w:type="dxa"/>
          </w:tcPr>
          <w:p>
            <w:pPr>
              <w:spacing w:line="360" w:lineRule="auto"/>
              <w:rPr>
                <w:rFonts w:ascii="Times New Roman" w:hAnsi="Times New Roman" w:eastAsia="宋体" w:cs="Times New Roman"/>
                <w:kern w:val="0"/>
                <w:sz w:val="20"/>
                <w:szCs w:val="20"/>
              </w:rPr>
            </w:pPr>
          </w:p>
        </w:tc>
        <w:tc>
          <w:tcPr>
            <w:tcW w:w="1274" w:type="dxa"/>
          </w:tcPr>
          <w:p>
            <w:pPr>
              <w:spacing w:line="360" w:lineRule="auto"/>
              <w:jc w:val="center"/>
              <w:rPr>
                <w:rFonts w:ascii="Times New Roman" w:hAnsi="Times New Roman" w:eastAsia="宋体" w:cs="Times New Roman"/>
                <w:kern w:val="0"/>
                <w:sz w:val="20"/>
                <w:szCs w:val="21"/>
              </w:rPr>
            </w:pPr>
          </w:p>
        </w:tc>
        <w:tc>
          <w:tcPr>
            <w:tcW w:w="1104" w:type="dxa"/>
          </w:tcPr>
          <w:p>
            <w:pPr>
              <w:spacing w:line="360" w:lineRule="auto"/>
              <w:jc w:val="center"/>
              <w:rPr>
                <w:rFonts w:ascii="Times New Roman" w:hAnsi="Times New Roman" w:eastAsia="宋体" w:cs="Times New Roman"/>
                <w:kern w:val="0"/>
                <w:sz w:val="20"/>
                <w:szCs w:val="21"/>
              </w:rPr>
            </w:pPr>
          </w:p>
        </w:tc>
        <w:tc>
          <w:tcPr>
            <w:tcW w:w="1549" w:type="dxa"/>
            <w:vAlign w:val="center"/>
          </w:tcPr>
          <w:p>
            <w:pPr>
              <w:spacing w:line="360" w:lineRule="auto"/>
              <w:ind w:left="-5" w:leftChars="-50" w:hanging="100" w:hangingChars="50"/>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2</w:t>
            </w:r>
          </w:p>
        </w:tc>
        <w:tc>
          <w:tcPr>
            <w:tcW w:w="4175" w:type="dxa"/>
          </w:tcPr>
          <w:p>
            <w:pPr>
              <w:spacing w:line="360" w:lineRule="auto"/>
              <w:rPr>
                <w:rFonts w:ascii="Times New Roman" w:hAnsi="Times New Roman" w:eastAsia="宋体" w:cs="Times New Roman"/>
                <w:kern w:val="0"/>
                <w:sz w:val="20"/>
                <w:szCs w:val="20"/>
              </w:rPr>
            </w:pPr>
          </w:p>
        </w:tc>
        <w:tc>
          <w:tcPr>
            <w:tcW w:w="1274" w:type="dxa"/>
          </w:tcPr>
          <w:p>
            <w:pPr>
              <w:spacing w:line="360" w:lineRule="auto"/>
              <w:jc w:val="center"/>
              <w:rPr>
                <w:rFonts w:ascii="Times New Roman" w:hAnsi="Times New Roman" w:eastAsia="宋体" w:cs="Times New Roman"/>
                <w:kern w:val="0"/>
                <w:sz w:val="20"/>
                <w:szCs w:val="21"/>
              </w:rPr>
            </w:pPr>
          </w:p>
        </w:tc>
        <w:tc>
          <w:tcPr>
            <w:tcW w:w="1104" w:type="dxa"/>
          </w:tcPr>
          <w:p>
            <w:pPr>
              <w:spacing w:line="360" w:lineRule="auto"/>
              <w:jc w:val="center"/>
              <w:rPr>
                <w:rFonts w:ascii="Times New Roman" w:hAnsi="Times New Roman" w:eastAsia="宋体" w:cs="Times New Roman"/>
                <w:kern w:val="0"/>
                <w:sz w:val="20"/>
                <w:szCs w:val="21"/>
              </w:rPr>
            </w:pPr>
          </w:p>
        </w:tc>
        <w:tc>
          <w:tcPr>
            <w:tcW w:w="1549" w:type="dxa"/>
            <w:vAlign w:val="center"/>
          </w:tcPr>
          <w:p>
            <w:pPr>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3</w:t>
            </w:r>
          </w:p>
        </w:tc>
        <w:tc>
          <w:tcPr>
            <w:tcW w:w="4175" w:type="dxa"/>
          </w:tcPr>
          <w:p>
            <w:pPr>
              <w:spacing w:line="360" w:lineRule="auto"/>
              <w:rPr>
                <w:rFonts w:ascii="Times New Roman" w:hAnsi="Times New Roman" w:eastAsia="宋体" w:cs="Times New Roman"/>
                <w:kern w:val="0"/>
                <w:sz w:val="20"/>
                <w:szCs w:val="20"/>
              </w:rPr>
            </w:pPr>
          </w:p>
        </w:tc>
        <w:tc>
          <w:tcPr>
            <w:tcW w:w="1274" w:type="dxa"/>
          </w:tcPr>
          <w:p>
            <w:pPr>
              <w:spacing w:line="360" w:lineRule="auto"/>
              <w:jc w:val="center"/>
              <w:rPr>
                <w:rFonts w:ascii="Times New Roman" w:hAnsi="Times New Roman" w:eastAsia="宋体" w:cs="Times New Roman"/>
                <w:kern w:val="0"/>
                <w:sz w:val="20"/>
                <w:szCs w:val="21"/>
              </w:rPr>
            </w:pPr>
          </w:p>
        </w:tc>
        <w:tc>
          <w:tcPr>
            <w:tcW w:w="1104" w:type="dxa"/>
          </w:tcPr>
          <w:p>
            <w:pPr>
              <w:spacing w:line="360" w:lineRule="auto"/>
              <w:jc w:val="center"/>
              <w:rPr>
                <w:rFonts w:ascii="Times New Roman" w:hAnsi="Times New Roman" w:eastAsia="宋体" w:cs="Times New Roman"/>
                <w:kern w:val="0"/>
                <w:sz w:val="20"/>
                <w:szCs w:val="21"/>
              </w:rPr>
            </w:pPr>
          </w:p>
        </w:tc>
        <w:tc>
          <w:tcPr>
            <w:tcW w:w="1549" w:type="dxa"/>
            <w:vAlign w:val="center"/>
          </w:tcPr>
          <w:p>
            <w:pPr>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4</w:t>
            </w:r>
          </w:p>
        </w:tc>
        <w:tc>
          <w:tcPr>
            <w:tcW w:w="4175" w:type="dxa"/>
          </w:tcPr>
          <w:p>
            <w:pPr>
              <w:spacing w:line="360" w:lineRule="auto"/>
              <w:rPr>
                <w:rFonts w:ascii="Times New Roman" w:hAnsi="Times New Roman" w:eastAsia="宋体" w:cs="Times New Roman"/>
                <w:kern w:val="0"/>
                <w:sz w:val="20"/>
                <w:szCs w:val="20"/>
              </w:rPr>
            </w:pPr>
          </w:p>
        </w:tc>
        <w:tc>
          <w:tcPr>
            <w:tcW w:w="1274" w:type="dxa"/>
          </w:tcPr>
          <w:p>
            <w:pPr>
              <w:spacing w:line="360" w:lineRule="auto"/>
              <w:jc w:val="center"/>
              <w:rPr>
                <w:rFonts w:ascii="Times New Roman" w:hAnsi="Times New Roman" w:eastAsia="宋体" w:cs="Times New Roman"/>
                <w:kern w:val="0"/>
                <w:sz w:val="20"/>
                <w:szCs w:val="21"/>
              </w:rPr>
            </w:pPr>
          </w:p>
        </w:tc>
        <w:tc>
          <w:tcPr>
            <w:tcW w:w="1104" w:type="dxa"/>
          </w:tcPr>
          <w:p>
            <w:pPr>
              <w:spacing w:line="360" w:lineRule="auto"/>
              <w:jc w:val="center"/>
              <w:rPr>
                <w:rFonts w:ascii="Times New Roman" w:hAnsi="Times New Roman" w:eastAsia="宋体" w:cs="Times New Roman"/>
                <w:kern w:val="0"/>
                <w:sz w:val="20"/>
                <w:szCs w:val="21"/>
              </w:rPr>
            </w:pPr>
          </w:p>
        </w:tc>
        <w:tc>
          <w:tcPr>
            <w:tcW w:w="1549" w:type="dxa"/>
            <w:vAlign w:val="center"/>
          </w:tcPr>
          <w:p>
            <w:pPr>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5</w:t>
            </w:r>
          </w:p>
        </w:tc>
        <w:tc>
          <w:tcPr>
            <w:tcW w:w="4175" w:type="dxa"/>
          </w:tcPr>
          <w:p>
            <w:pPr>
              <w:spacing w:line="360" w:lineRule="auto"/>
              <w:rPr>
                <w:rFonts w:ascii="Times New Roman" w:hAnsi="Times New Roman" w:eastAsia="宋体" w:cs="Times New Roman"/>
                <w:kern w:val="0"/>
                <w:sz w:val="20"/>
                <w:szCs w:val="20"/>
              </w:rPr>
            </w:pPr>
          </w:p>
        </w:tc>
        <w:tc>
          <w:tcPr>
            <w:tcW w:w="1274" w:type="dxa"/>
          </w:tcPr>
          <w:p>
            <w:pPr>
              <w:spacing w:line="360" w:lineRule="auto"/>
              <w:jc w:val="center"/>
              <w:rPr>
                <w:rFonts w:ascii="Times New Roman" w:hAnsi="Times New Roman" w:eastAsia="宋体" w:cs="Times New Roman"/>
                <w:kern w:val="0"/>
                <w:sz w:val="20"/>
                <w:szCs w:val="21"/>
              </w:rPr>
            </w:pPr>
          </w:p>
        </w:tc>
        <w:tc>
          <w:tcPr>
            <w:tcW w:w="1104" w:type="dxa"/>
          </w:tcPr>
          <w:p>
            <w:pPr>
              <w:spacing w:line="360" w:lineRule="auto"/>
              <w:jc w:val="center"/>
              <w:rPr>
                <w:rFonts w:ascii="Times New Roman" w:hAnsi="Times New Roman" w:eastAsia="宋体" w:cs="Times New Roman"/>
                <w:kern w:val="0"/>
                <w:sz w:val="20"/>
                <w:szCs w:val="21"/>
              </w:rPr>
            </w:pPr>
          </w:p>
        </w:tc>
        <w:tc>
          <w:tcPr>
            <w:tcW w:w="1549" w:type="dxa"/>
            <w:vAlign w:val="center"/>
          </w:tcPr>
          <w:p>
            <w:pPr>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6</w:t>
            </w:r>
          </w:p>
        </w:tc>
        <w:tc>
          <w:tcPr>
            <w:tcW w:w="4175" w:type="dxa"/>
          </w:tcPr>
          <w:p>
            <w:pPr>
              <w:spacing w:line="360" w:lineRule="auto"/>
              <w:rPr>
                <w:rFonts w:ascii="Times New Roman" w:hAnsi="Times New Roman" w:eastAsia="宋体" w:cs="Times New Roman"/>
                <w:kern w:val="0"/>
                <w:sz w:val="20"/>
                <w:szCs w:val="20"/>
              </w:rPr>
            </w:pPr>
          </w:p>
        </w:tc>
        <w:tc>
          <w:tcPr>
            <w:tcW w:w="1274" w:type="dxa"/>
          </w:tcPr>
          <w:p>
            <w:pPr>
              <w:spacing w:line="360" w:lineRule="auto"/>
              <w:jc w:val="left"/>
              <w:rPr>
                <w:rFonts w:ascii="Times New Roman" w:hAnsi="Times New Roman" w:eastAsia="宋体" w:cs="Times New Roman"/>
                <w:kern w:val="0"/>
                <w:sz w:val="20"/>
                <w:szCs w:val="21"/>
              </w:rPr>
            </w:pPr>
          </w:p>
        </w:tc>
        <w:tc>
          <w:tcPr>
            <w:tcW w:w="1104" w:type="dxa"/>
          </w:tcPr>
          <w:p>
            <w:pPr>
              <w:spacing w:line="360" w:lineRule="auto"/>
              <w:jc w:val="left"/>
              <w:rPr>
                <w:rFonts w:ascii="Times New Roman" w:hAnsi="Times New Roman" w:eastAsia="宋体" w:cs="Times New Roman"/>
                <w:kern w:val="0"/>
                <w:sz w:val="20"/>
                <w:szCs w:val="21"/>
              </w:rPr>
            </w:pPr>
          </w:p>
        </w:tc>
        <w:tc>
          <w:tcPr>
            <w:tcW w:w="1549" w:type="dxa"/>
            <w:vAlign w:val="center"/>
          </w:tcPr>
          <w:p>
            <w:pPr>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7</w:t>
            </w:r>
          </w:p>
        </w:tc>
        <w:tc>
          <w:tcPr>
            <w:tcW w:w="4175" w:type="dxa"/>
          </w:tcPr>
          <w:p>
            <w:pPr>
              <w:spacing w:line="360" w:lineRule="auto"/>
              <w:rPr>
                <w:rFonts w:ascii="Times New Roman" w:hAnsi="Times New Roman" w:eastAsia="宋体" w:cs="Times New Roman"/>
                <w:kern w:val="0"/>
                <w:sz w:val="20"/>
                <w:szCs w:val="20"/>
              </w:rPr>
            </w:pPr>
          </w:p>
        </w:tc>
        <w:tc>
          <w:tcPr>
            <w:tcW w:w="1274" w:type="dxa"/>
          </w:tcPr>
          <w:p>
            <w:pPr>
              <w:spacing w:line="360" w:lineRule="auto"/>
              <w:jc w:val="left"/>
              <w:rPr>
                <w:rFonts w:ascii="Times New Roman" w:hAnsi="Times New Roman" w:eastAsia="宋体" w:cs="Times New Roman"/>
                <w:kern w:val="0"/>
                <w:sz w:val="20"/>
                <w:szCs w:val="21"/>
              </w:rPr>
            </w:pPr>
          </w:p>
        </w:tc>
        <w:tc>
          <w:tcPr>
            <w:tcW w:w="1104" w:type="dxa"/>
          </w:tcPr>
          <w:p>
            <w:pPr>
              <w:spacing w:line="360" w:lineRule="auto"/>
              <w:jc w:val="left"/>
              <w:rPr>
                <w:rFonts w:ascii="Times New Roman" w:hAnsi="Times New Roman" w:eastAsia="宋体" w:cs="Times New Roman"/>
                <w:kern w:val="0"/>
                <w:sz w:val="20"/>
                <w:szCs w:val="21"/>
              </w:rPr>
            </w:pPr>
          </w:p>
        </w:tc>
        <w:tc>
          <w:tcPr>
            <w:tcW w:w="1549" w:type="dxa"/>
            <w:vAlign w:val="center"/>
          </w:tcPr>
          <w:p>
            <w:pPr>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w:t>
            </w:r>
          </w:p>
        </w:tc>
        <w:tc>
          <w:tcPr>
            <w:tcW w:w="4175" w:type="dxa"/>
          </w:tcPr>
          <w:p>
            <w:pPr>
              <w:spacing w:line="360" w:lineRule="auto"/>
              <w:rPr>
                <w:rFonts w:ascii="Times New Roman" w:hAnsi="Times New Roman" w:eastAsia="宋体" w:cs="Times New Roman"/>
                <w:kern w:val="0"/>
                <w:sz w:val="20"/>
                <w:szCs w:val="20"/>
              </w:rPr>
            </w:pPr>
          </w:p>
        </w:tc>
        <w:tc>
          <w:tcPr>
            <w:tcW w:w="1274" w:type="dxa"/>
          </w:tcPr>
          <w:p>
            <w:pPr>
              <w:spacing w:line="360" w:lineRule="auto"/>
              <w:jc w:val="center"/>
              <w:rPr>
                <w:rFonts w:ascii="Times New Roman" w:hAnsi="Times New Roman" w:eastAsia="宋体" w:cs="Times New Roman"/>
                <w:kern w:val="0"/>
                <w:sz w:val="20"/>
                <w:szCs w:val="21"/>
              </w:rPr>
            </w:pPr>
          </w:p>
        </w:tc>
        <w:tc>
          <w:tcPr>
            <w:tcW w:w="1104" w:type="dxa"/>
          </w:tcPr>
          <w:p>
            <w:pPr>
              <w:spacing w:line="360" w:lineRule="auto"/>
              <w:jc w:val="center"/>
              <w:rPr>
                <w:rFonts w:ascii="Times New Roman" w:hAnsi="Times New Roman" w:eastAsia="宋体" w:cs="Times New Roman"/>
                <w:kern w:val="0"/>
                <w:sz w:val="20"/>
                <w:szCs w:val="21"/>
              </w:rPr>
            </w:pPr>
          </w:p>
        </w:tc>
        <w:tc>
          <w:tcPr>
            <w:tcW w:w="1549" w:type="dxa"/>
            <w:vAlign w:val="center"/>
          </w:tcPr>
          <w:p>
            <w:pPr>
              <w:spacing w:line="360" w:lineRule="auto"/>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vAlign w:val="center"/>
          </w:tcPr>
          <w:p>
            <w:pPr>
              <w:spacing w:line="360" w:lineRule="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自评结论</w:t>
            </w:r>
          </w:p>
        </w:tc>
        <w:tc>
          <w:tcPr>
            <w:tcW w:w="1274" w:type="dxa"/>
          </w:tcPr>
          <w:p>
            <w:pPr>
              <w:spacing w:line="360" w:lineRule="auto"/>
              <w:jc w:val="center"/>
              <w:rPr>
                <w:rFonts w:ascii="Times New Roman" w:hAnsi="Times New Roman" w:eastAsia="宋体" w:cs="Times New Roman"/>
                <w:kern w:val="0"/>
                <w:sz w:val="20"/>
                <w:szCs w:val="21"/>
              </w:rPr>
            </w:pPr>
          </w:p>
        </w:tc>
        <w:tc>
          <w:tcPr>
            <w:tcW w:w="1104" w:type="dxa"/>
          </w:tcPr>
          <w:p>
            <w:pPr>
              <w:spacing w:line="360" w:lineRule="auto"/>
              <w:jc w:val="center"/>
              <w:rPr>
                <w:rFonts w:ascii="Times New Roman" w:hAnsi="Times New Roman" w:eastAsia="宋体" w:cs="Times New Roman"/>
                <w:kern w:val="0"/>
                <w:sz w:val="20"/>
                <w:szCs w:val="21"/>
              </w:rPr>
            </w:pPr>
          </w:p>
        </w:tc>
        <w:tc>
          <w:tcPr>
            <w:tcW w:w="1549" w:type="dxa"/>
            <w:vAlign w:val="center"/>
          </w:tcPr>
          <w:p>
            <w:pPr>
              <w:spacing w:line="360" w:lineRule="auto"/>
              <w:jc w:val="center"/>
              <w:rPr>
                <w:rFonts w:ascii="Times New Roman" w:hAnsi="Times New Roman" w:eastAsia="宋体" w:cs="Times New Roman"/>
                <w:kern w:val="0"/>
                <w:sz w:val="20"/>
                <w:szCs w:val="21"/>
              </w:rPr>
            </w:pPr>
          </w:p>
        </w:tc>
      </w:tr>
    </w:tbl>
    <w:p>
      <w:pPr>
        <w:spacing w:line="360" w:lineRule="auto"/>
        <w:rPr>
          <w:rFonts w:ascii="Times New Roman" w:hAnsi="Times New Roman" w:cs="Times New Roman"/>
          <w:szCs w:val="21"/>
        </w:rPr>
      </w:pPr>
      <w:r>
        <w:rPr>
          <w:rFonts w:ascii="Times New Roman" w:hAnsi="Times New Roman" w:eastAsia="宋体" w:cs="Times New Roman"/>
          <w:szCs w:val="21"/>
        </w:rPr>
        <w:t>说明：</w:t>
      </w:r>
      <w:r>
        <w:rPr>
          <w:rFonts w:ascii="Times New Roman" w:hAnsi="Times New Roman" w:cs="Times New Roman"/>
          <w:szCs w:val="21"/>
        </w:rPr>
        <w:t>1. 备注栏中应提供相关内容在响应文件中的页码。</w:t>
      </w:r>
    </w:p>
    <w:p>
      <w:pPr>
        <w:spacing w:line="360" w:lineRule="auto"/>
        <w:ind w:left="945" w:leftChars="300" w:hanging="315" w:hangingChars="150"/>
        <w:rPr>
          <w:rFonts w:ascii="Times New Roman" w:hAnsi="Times New Roman" w:cs="Times New Roman"/>
          <w:color w:val="FF0000"/>
          <w:szCs w:val="21"/>
        </w:rPr>
      </w:pPr>
      <w:r>
        <w:rPr>
          <w:rFonts w:ascii="Times New Roman" w:hAnsi="Times New Roman" w:cs="Times New Roman"/>
          <w:szCs w:val="21"/>
        </w:rPr>
        <w:t xml:space="preserve">2. </w:t>
      </w:r>
      <w:r>
        <w:rPr>
          <w:rFonts w:ascii="Times New Roman" w:hAnsi="Times New Roman" w:cs="Times New Roman"/>
          <w:color w:val="FF0000"/>
          <w:szCs w:val="21"/>
        </w:rPr>
        <w:t>应对照磋商文件的要求，逐条说明所提供服务已对磋商文件的服务要求做出了实质性的响应，</w:t>
      </w:r>
      <w:r>
        <w:rPr>
          <w:rFonts w:ascii="Times New Roman" w:hAnsi="Times New Roman" w:cs="Times New Roman"/>
          <w:color w:val="FF0000"/>
          <w:sz w:val="24"/>
          <w:szCs w:val="24"/>
        </w:rPr>
        <w:t>并</w:t>
      </w:r>
      <w:r>
        <w:rPr>
          <w:rFonts w:ascii="Times New Roman" w:hAnsi="Times New Roman" w:cs="Times New Roman"/>
          <w:color w:val="FF0000"/>
          <w:sz w:val="24"/>
        </w:rPr>
        <w:t>说明</w:t>
      </w:r>
      <w:r>
        <w:rPr>
          <w:rFonts w:ascii="Times New Roman" w:hAnsi="Times New Roman" w:cs="Times New Roman"/>
          <w:color w:val="FF0000"/>
          <w:sz w:val="24"/>
          <w:szCs w:val="24"/>
        </w:rPr>
        <w:t>响应</w:t>
      </w:r>
      <w:r>
        <w:rPr>
          <w:rFonts w:ascii="Times New Roman" w:hAnsi="Times New Roman" w:cs="Times New Roman"/>
          <w:color w:val="FF0000"/>
          <w:sz w:val="24"/>
        </w:rPr>
        <w:t>情况</w:t>
      </w:r>
      <w:r>
        <w:rPr>
          <w:rFonts w:ascii="Times New Roman" w:hAnsi="Times New Roman" w:cs="Times New Roman"/>
          <w:color w:val="FF0000"/>
          <w:szCs w:val="21"/>
        </w:rPr>
        <w:t>。如果仅注明“符合”、“满足”或简单复制磋商文件要求，将导致响应文件无效。</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t>附件5</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技术响应、偏离情况说明表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bCs/>
          <w:sz w:val="24"/>
          <w:szCs w:val="24"/>
        </w:rPr>
      </w:pPr>
      <w:r>
        <w:rPr>
          <w:rFonts w:ascii="Times New Roman" w:hAnsi="Times New Roman" w:cs="Times New Roman"/>
          <w:sz w:val="24"/>
          <w:szCs w:val="24"/>
        </w:rPr>
        <w:t>项目名称：</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磋商文件要求</w:t>
            </w:r>
          </w:p>
        </w:tc>
        <w:tc>
          <w:tcPr>
            <w:tcW w:w="1281" w:type="dxa"/>
            <w:vAlign w:val="center"/>
          </w:tcPr>
          <w:p>
            <w:pPr>
              <w:spacing w:line="360" w:lineRule="auto"/>
              <w:ind w:left="-109" w:leftChars="-52" w:right="-107" w:rightChars="-51"/>
              <w:jc w:val="center"/>
              <w:rPr>
                <w:rFonts w:ascii="Times New Roman" w:hAnsi="Times New Roman" w:cs="Times New Roman"/>
                <w:sz w:val="24"/>
                <w:szCs w:val="24"/>
              </w:rPr>
            </w:pPr>
            <w:r>
              <w:rPr>
                <w:rFonts w:ascii="Times New Roman" w:hAnsi="Times New Roman" w:cs="Times New Roman"/>
                <w:sz w:val="24"/>
                <w:szCs w:val="24"/>
              </w:rPr>
              <w:t>响应文件响应情况</w:t>
            </w:r>
          </w:p>
        </w:tc>
        <w:tc>
          <w:tcPr>
            <w:tcW w:w="853"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偏离说明</w:t>
            </w:r>
          </w:p>
        </w:tc>
        <w:tc>
          <w:tcPr>
            <w:tcW w:w="163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spacing w:line="360" w:lineRule="auto"/>
        <w:rPr>
          <w:rFonts w:ascii="Times New Roman" w:hAnsi="Times New Roman" w:eastAsia="宋体" w:cs="Times New Roman"/>
          <w:sz w:val="24"/>
          <w:szCs w:val="24"/>
        </w:rPr>
      </w:pPr>
    </w:p>
    <w:p>
      <w:pPr>
        <w:adjustRightInd w:val="0"/>
        <w:snapToGrid w:val="0"/>
        <w:spacing w:line="360" w:lineRule="auto"/>
        <w:rPr>
          <w:rFonts w:ascii="Times New Roman" w:hAnsi="Times New Roman" w:cs="Times New Roman"/>
          <w:b/>
          <w:bCs/>
          <w:sz w:val="24"/>
          <w:szCs w:val="24"/>
        </w:rPr>
      </w:pPr>
      <w:r>
        <w:rPr>
          <w:rFonts w:ascii="Times New Roman" w:hAnsi="Times New Roman" w:cs="Times New Roman"/>
          <w:bCs/>
          <w:sz w:val="24"/>
          <w:szCs w:val="24"/>
        </w:rPr>
        <w:t>附件6</w:t>
      </w:r>
    </w:p>
    <w:p>
      <w:pPr>
        <w:spacing w:line="360" w:lineRule="auto"/>
        <w:jc w:val="center"/>
        <w:rPr>
          <w:rFonts w:ascii="Times New Roman" w:hAnsi="Times New Roman" w:cs="Times New Roman"/>
          <w:sz w:val="32"/>
          <w:szCs w:val="32"/>
        </w:rPr>
      </w:pPr>
      <w:r>
        <w:rPr>
          <w:rFonts w:ascii="Times New Roman" w:hAnsi="Times New Roman" w:cs="Times New Roman"/>
          <w:bCs/>
          <w:color w:val="000000" w:themeColor="text1"/>
          <w:sz w:val="32"/>
          <w:szCs w:val="32"/>
        </w:rPr>
        <w:t>合同草案条款响应、偏离情况说明表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序号</w:t>
            </w:r>
          </w:p>
        </w:tc>
        <w:tc>
          <w:tcPr>
            <w:tcW w:w="2062" w:type="dxa"/>
            <w:vAlign w:val="center"/>
          </w:tcPr>
          <w:p>
            <w:pPr>
              <w:spacing w:line="360" w:lineRule="auto"/>
              <w:ind w:right="-80" w:rightChars="-38"/>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磋商文件要求部分</w:t>
            </w:r>
          </w:p>
        </w:tc>
        <w:tc>
          <w:tcPr>
            <w:tcW w:w="2270" w:type="dxa"/>
            <w:vAlign w:val="center"/>
          </w:tcPr>
          <w:p>
            <w:pPr>
              <w:spacing w:line="360" w:lineRule="auto"/>
              <w:ind w:left="28" w:leftChars="-38" w:right="-80" w:rightChars="-38" w:hanging="108" w:hangingChars="45"/>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响应文件的响应部分</w:t>
            </w:r>
          </w:p>
        </w:tc>
        <w:tc>
          <w:tcPr>
            <w:tcW w:w="1277" w:type="dxa"/>
            <w:vAlign w:val="center"/>
          </w:tcPr>
          <w:p>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偏离说明</w:t>
            </w:r>
          </w:p>
        </w:tc>
        <w:tc>
          <w:tcPr>
            <w:tcW w:w="2459" w:type="dxa"/>
            <w:vAlign w:val="center"/>
          </w:tcPr>
          <w:p>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1</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2</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3</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4</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5</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6</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7</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bl>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eastAsia="宋体" w:cs="Times New Roman"/>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附件7</w:t>
      </w:r>
    </w:p>
    <w:p>
      <w:pPr>
        <w:adjustRightInd w:val="0"/>
        <w:snapToGrid w:val="0"/>
        <w:spacing w:line="360" w:lineRule="auto"/>
        <w:jc w:val="center"/>
        <w:outlineLvl w:val="0"/>
        <w:rPr>
          <w:rFonts w:ascii="Times New Roman" w:hAnsi="Times New Roman" w:cs="Times New Roman"/>
          <w:sz w:val="32"/>
          <w:szCs w:val="32"/>
        </w:rPr>
      </w:pPr>
      <w:r>
        <w:rPr>
          <w:rFonts w:ascii="Times New Roman" w:hAnsi="Times New Roman" w:cs="Times New Roman"/>
          <w:sz w:val="32"/>
          <w:szCs w:val="32"/>
        </w:rPr>
        <w:t>法人（负责人）代表授权书</w:t>
      </w:r>
    </w:p>
    <w:p>
      <w:pPr>
        <w:spacing w:beforeLines="50" w:afterLines="100" w:line="360" w:lineRule="auto"/>
        <w:rPr>
          <w:rFonts w:ascii="Times New Roman" w:hAnsi="Times New Roman" w:cs="Times New Roman"/>
          <w:sz w:val="24"/>
          <w:szCs w:val="24"/>
        </w:rPr>
      </w:pPr>
    </w:p>
    <w:p>
      <w:pPr>
        <w:spacing w:line="360" w:lineRule="auto"/>
        <w:rPr>
          <w:rFonts w:ascii="Times New Roman" w:hAnsi="Times New Roman" w:cs="Times New Roman"/>
          <w:bCs/>
          <w:sz w:val="24"/>
          <w:szCs w:val="24"/>
        </w:rPr>
      </w:pP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r>
        <w:rPr>
          <w:rFonts w:ascii="Times New Roman" w:hAnsi="Times New Roman" w:cs="Times New Roman"/>
          <w:bCs/>
          <w:sz w:val="24"/>
          <w:szCs w:val="24"/>
        </w:rPr>
        <w:t>：</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u w:val="single"/>
        </w:rPr>
        <w:t>（供应商名称）</w:t>
      </w:r>
      <w:r>
        <w:rPr>
          <w:rFonts w:ascii="Times New Roman" w:hAnsi="Times New Roman" w:cs="Times New Roman"/>
          <w:bCs/>
          <w:sz w:val="24"/>
          <w:szCs w:val="24"/>
        </w:rPr>
        <w:t>在下面签字的（</w:t>
      </w:r>
      <w:r>
        <w:rPr>
          <w:rFonts w:ascii="Times New Roman" w:hAnsi="Times New Roman" w:cs="Times New Roman"/>
          <w:bCs/>
          <w:sz w:val="24"/>
          <w:szCs w:val="24"/>
          <w:u w:val="single"/>
        </w:rPr>
        <w:t>法定代表人姓名、职务</w:t>
      </w:r>
      <w:r>
        <w:rPr>
          <w:rFonts w:ascii="Times New Roman" w:hAnsi="Times New Roman" w:cs="Times New Roman"/>
          <w:bCs/>
          <w:sz w:val="24"/>
          <w:szCs w:val="24"/>
        </w:rPr>
        <w:t>）代表本公司授权（供应商名称）的下面签字的</w:t>
      </w:r>
      <w:r>
        <w:rPr>
          <w:rFonts w:ascii="Times New Roman" w:hAnsi="Times New Roman" w:cs="Times New Roman"/>
          <w:bCs/>
          <w:sz w:val="24"/>
          <w:szCs w:val="24"/>
          <w:u w:val="single"/>
        </w:rPr>
        <w:t>（被授权代表的姓名、职务）</w:t>
      </w:r>
      <w:r>
        <w:rPr>
          <w:rFonts w:ascii="Times New Roman" w:hAnsi="Times New Roman" w:cs="Times New Roman"/>
          <w:bCs/>
          <w:sz w:val="24"/>
          <w:szCs w:val="24"/>
        </w:rPr>
        <w:t>为本公司的合法代理人，就（</w:t>
      </w:r>
      <w:r>
        <w:rPr>
          <w:rFonts w:ascii="Times New Roman" w:hAnsi="Times New Roman" w:cs="Times New Roman"/>
          <w:bCs/>
          <w:sz w:val="24"/>
          <w:szCs w:val="24"/>
          <w:u w:val="single"/>
        </w:rPr>
        <w:t>项目名称、项目编号</w:t>
      </w:r>
      <w:r>
        <w:rPr>
          <w:rFonts w:ascii="Times New Roman" w:hAnsi="Times New Roman" w:cs="Times New Roman"/>
          <w:bCs/>
          <w:sz w:val="24"/>
          <w:szCs w:val="24"/>
        </w:rPr>
        <w:t>）的竞争性磋商，以本公司的名义处理一切与之有关的事务。</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本授权书自    年    月    日至    年    月    日止签字有效。</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特此声明。</w:t>
      </w:r>
    </w:p>
    <w:p>
      <w:pPr>
        <w:spacing w:beforeLines="100" w:after="100" w:afterAutospacing="1"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委托人名称（公章）：                被授权人（签章）：</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法定（负责人）代表人（签章）：      身份证号码：</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电话：                               电话（手机）：</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传真：办公                           电话/传真：</w:t>
      </w:r>
    </w:p>
    <w:p>
      <w:pPr>
        <w:spacing w:beforeLines="50" w:afterLines="100" w:line="360" w:lineRule="auto"/>
        <w:rPr>
          <w:rFonts w:ascii="Times New Roman" w:hAnsi="Times New Roman" w:cs="Times New Roman"/>
          <w:bCs/>
          <w:sz w:val="24"/>
          <w:szCs w:val="24"/>
          <w:u w:val="single"/>
        </w:rPr>
      </w:pP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Lines="50" w:afterLines="100" w:line="360" w:lineRule="auto"/>
              <w:rPr>
                <w:rFonts w:ascii="Times New Roman" w:hAnsi="Times New Roman" w:cs="Times New Roman"/>
                <w:bCs/>
                <w:sz w:val="24"/>
                <w:szCs w:val="24"/>
              </w:rPr>
            </w:pPr>
            <w:r>
              <w:rPr>
                <w:rFonts w:ascii="Times New Roman" w:hAnsi="Times New Roman" w:cs="Times New Roman"/>
                <w:bCs/>
                <w:sz w:val="24"/>
                <w:szCs w:val="24"/>
              </w:rPr>
              <w:t>粘贴被授权人身份证（复印件）</w:t>
            </w:r>
          </w:p>
        </w:tc>
      </w:tr>
    </w:tbl>
    <w:p>
      <w:pPr>
        <w:spacing w:line="360" w:lineRule="auto"/>
        <w:rPr>
          <w:rFonts w:ascii="Times New Roman" w:hAnsi="Times New Roman" w:cs="Times New Roman"/>
          <w:bCs/>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spacing w:beforeLines="50" w:afterLines="100"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附件8</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法人或者其他组织的营业执照等证明文件，自然人的</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身份证明等证明材料</w:t>
      </w:r>
    </w:p>
    <w:p>
      <w:pPr>
        <w:spacing w:line="360" w:lineRule="auto"/>
        <w:rPr>
          <w:rFonts w:ascii="Times New Roman" w:hAnsi="Times New Roman" w:eastAsia="仿宋_GB2312" w:cs="Times New Roman"/>
          <w:bCs/>
          <w:color w:val="000000"/>
          <w:szCs w:val="28"/>
        </w:rPr>
      </w:pP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t>（企业法人营业执照、税务登记证，供应商是自然人的身份证明材料等）</w:t>
      </w: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br w:type="page"/>
      </w:r>
    </w:p>
    <w:p>
      <w:pPr>
        <w:spacing w:line="360" w:lineRule="auto"/>
        <w:ind w:left="360" w:hanging="360" w:hangingChars="150"/>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附件9</w:t>
      </w:r>
    </w:p>
    <w:p>
      <w:pPr>
        <w:spacing w:line="360" w:lineRule="auto"/>
        <w:ind w:left="360" w:hanging="360" w:hangingChars="150"/>
        <w:rPr>
          <w:rFonts w:ascii="Times New Roman" w:hAnsi="Times New Roman" w:cs="Times New Roman"/>
          <w:bCs/>
          <w:color w:val="000000" w:themeColor="text1"/>
          <w:sz w:val="24"/>
        </w:rPr>
      </w:pP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财务状况报告，依法缴纳税收和社会保障资金的相关材料</w:t>
      </w:r>
    </w:p>
    <w:p>
      <w:pPr>
        <w:spacing w:line="360" w:lineRule="auto"/>
        <w:rPr>
          <w:rFonts w:ascii="Times New Roman" w:hAnsi="Times New Roman" w:eastAsia="仿宋_GB2312" w:cs="Times New Roman"/>
          <w:bCs/>
          <w:color w:val="000000"/>
          <w:szCs w:val="28"/>
        </w:rPr>
      </w:pP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一、参加本采购项目前一年度的财务报表（企业成立时间不足一年不适用），或其他证明具备实施本项目的财务状况证明材料；</w:t>
      </w: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二、参加本采购项目前，近期的纳税证明；</w:t>
      </w:r>
    </w:p>
    <w:p>
      <w:pPr>
        <w:spacing w:line="360" w:lineRule="auto"/>
        <w:ind w:left="2" w:leftChars="1" w:firstLine="480" w:firstLineChars="200"/>
        <w:rPr>
          <w:rFonts w:ascii="Times New Roman" w:hAnsi="Times New Roman" w:cs="Times New Roman"/>
          <w:bCs/>
          <w:color w:val="000000" w:themeColor="text1"/>
          <w:sz w:val="24"/>
        </w:rPr>
      </w:pPr>
      <w:r>
        <w:rPr>
          <w:rFonts w:ascii="Times New Roman" w:hAnsi="Times New Roman" w:cs="Times New Roman"/>
          <w:bCs/>
          <w:color w:val="000000"/>
          <w:sz w:val="24"/>
        </w:rPr>
        <w:t>三、参加本采购项目前，近期缴纳社会保障资金证明等。</w:t>
      </w:r>
      <w:r>
        <w:rPr>
          <w:rFonts w:ascii="Times New Roman" w:hAnsi="Times New Roman" w:cs="Times New Roman"/>
          <w:color w:val="000000" w:themeColor="text1"/>
          <w:szCs w:val="28"/>
        </w:rPr>
        <w:br w:type="page"/>
      </w:r>
      <w:r>
        <w:rPr>
          <w:rFonts w:ascii="Times New Roman" w:hAnsi="Times New Roman" w:cs="Times New Roman"/>
          <w:bCs/>
          <w:color w:val="000000" w:themeColor="text1"/>
          <w:sz w:val="24"/>
        </w:rPr>
        <w:t>附件10</w:t>
      </w:r>
    </w:p>
    <w:p>
      <w:pPr>
        <w:widowControl/>
        <w:spacing w:line="360" w:lineRule="auto"/>
        <w:jc w:val="left"/>
        <w:rPr>
          <w:rFonts w:ascii="Times New Roman" w:hAnsi="Times New Roman" w:cs="Times New Roman"/>
          <w:bCs/>
          <w:color w:val="000000" w:themeColor="text1"/>
          <w:sz w:val="24"/>
        </w:rPr>
      </w:pP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具备履行合同所必需的设备和专业技术能力的</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证明材料</w:t>
      </w:r>
    </w:p>
    <w:p>
      <w:pPr>
        <w:spacing w:line="360" w:lineRule="auto"/>
        <w:jc w:val="center"/>
        <w:rPr>
          <w:rFonts w:ascii="Times New Roman" w:hAnsi="Times New Roman" w:cs="Times New Roman"/>
          <w:bCs/>
          <w:color w:val="000000"/>
          <w:sz w:val="32"/>
          <w:szCs w:val="32"/>
        </w:rPr>
      </w:pPr>
    </w:p>
    <w:p>
      <w:pPr>
        <w:spacing w:line="360" w:lineRule="auto"/>
        <w:jc w:val="center"/>
        <w:rPr>
          <w:rFonts w:ascii="Times New Roman" w:hAnsi="Times New Roman" w:cs="Times New Roman" w:eastAsiaTheme="majorEastAsia"/>
          <w:bCs/>
          <w:color w:val="000000" w:themeColor="text1"/>
          <w:sz w:val="24"/>
        </w:rPr>
      </w:pPr>
      <w:r>
        <w:rPr>
          <w:rFonts w:ascii="Times New Roman" w:hAnsi="Times New Roman" w:cs="Times New Roman"/>
          <w:bCs/>
          <w:color w:val="000000"/>
          <w:sz w:val="24"/>
        </w:rPr>
        <w:t>（提供履行合同所必需的设备和专业技术能力的相关文件）</w:t>
      </w:r>
    </w:p>
    <w:p>
      <w:pPr>
        <w:widowControl/>
        <w:spacing w:line="360" w:lineRule="auto"/>
        <w:jc w:val="left"/>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pPr>
        <w:spacing w:beforeLines="50" w:afterLines="100"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附件11</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参加政府采购活动前3年内在经营活动中</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没有重大违法记录的书面声明</w:t>
      </w:r>
    </w:p>
    <w:p>
      <w:pPr>
        <w:spacing w:line="360" w:lineRule="auto"/>
        <w:jc w:val="center"/>
        <w:rPr>
          <w:rFonts w:ascii="Times New Roman" w:hAnsi="Times New Roman" w:eastAsia="仿宋_GB2312" w:cs="Times New Roman"/>
          <w:sz w:val="24"/>
        </w:rPr>
      </w:pPr>
    </w:p>
    <w:p>
      <w:pPr>
        <w:spacing w:line="360" w:lineRule="auto"/>
        <w:jc w:val="center"/>
        <w:rPr>
          <w:rFonts w:ascii="Times New Roman" w:hAnsi="Times New Roman" w:cs="Times New Roman" w:eastAsiaTheme="majorEastAsia"/>
          <w:bCs/>
          <w:color w:val="000000" w:themeColor="text1"/>
          <w:sz w:val="32"/>
          <w:szCs w:val="32"/>
        </w:rPr>
      </w:pPr>
      <w:r>
        <w:rPr>
          <w:rFonts w:ascii="Times New Roman" w:hAnsi="Times New Roman" w:cs="Times New Roman"/>
          <w:sz w:val="24"/>
        </w:rPr>
        <w:t>（供应商自行编写）</w:t>
      </w:r>
    </w:p>
    <w:p>
      <w:pPr>
        <w:widowControl/>
        <w:spacing w:line="360" w:lineRule="auto"/>
        <w:jc w:val="left"/>
        <w:rPr>
          <w:rFonts w:ascii="Times New Roman" w:hAnsi="Times New Roman" w:cs="Times New Roman" w:eastAsiaTheme="majorEastAsia"/>
          <w:bCs/>
          <w:color w:val="000000" w:themeColor="text1"/>
          <w:sz w:val="32"/>
          <w:szCs w:val="32"/>
        </w:rPr>
      </w:pPr>
      <w:r>
        <w:rPr>
          <w:rFonts w:ascii="Times New Roman" w:hAnsi="Times New Roman" w:cs="Times New Roman" w:eastAsiaTheme="majorEastAsia"/>
          <w:bCs/>
          <w:color w:val="000000" w:themeColor="text1"/>
          <w:sz w:val="32"/>
          <w:szCs w:val="32"/>
        </w:rPr>
        <w:br w:type="page"/>
      </w:r>
    </w:p>
    <w:p>
      <w:pPr>
        <w:widowControl/>
        <w:spacing w:line="360" w:lineRule="auto"/>
        <w:jc w:val="left"/>
        <w:rPr>
          <w:rFonts w:ascii="Times New Roman" w:hAnsi="Times New Roman" w:cs="Times New Roman"/>
          <w:color w:val="000000" w:themeColor="text1"/>
          <w:sz w:val="32"/>
          <w:szCs w:val="32"/>
        </w:rPr>
      </w:pPr>
      <w:r>
        <w:rPr>
          <w:rFonts w:ascii="Times New Roman" w:hAnsi="Times New Roman" w:cs="Times New Roman"/>
          <w:bCs/>
          <w:color w:val="000000" w:themeColor="text1"/>
          <w:sz w:val="24"/>
        </w:rPr>
        <w:t>附件12</w:t>
      </w:r>
    </w:p>
    <w:p>
      <w:pPr>
        <w:adjustRightInd w:val="0"/>
        <w:snapToGrid w:val="0"/>
        <w:spacing w:line="360" w:lineRule="auto"/>
        <w:jc w:val="center"/>
        <w:outlineLvl w:val="0"/>
        <w:rPr>
          <w:rFonts w:ascii="Times New Roman" w:hAnsi="Times New Roman" w:cs="Times New Roman"/>
          <w:color w:val="000000" w:themeColor="text1"/>
          <w:sz w:val="32"/>
          <w:szCs w:val="32"/>
        </w:rPr>
      </w:pPr>
    </w:p>
    <w:p>
      <w:pPr>
        <w:spacing w:line="360" w:lineRule="auto"/>
        <w:jc w:val="center"/>
        <w:rPr>
          <w:rFonts w:ascii="Times New Roman" w:hAnsi="Times New Roman" w:cs="Times New Roman"/>
          <w:bCs/>
          <w:color w:val="000000"/>
          <w:sz w:val="30"/>
          <w:szCs w:val="30"/>
        </w:rPr>
      </w:pPr>
      <w:r>
        <w:rPr>
          <w:rFonts w:ascii="Times New Roman" w:hAnsi="Times New Roman" w:cs="Times New Roman"/>
          <w:bCs/>
          <w:color w:val="000000"/>
          <w:sz w:val="30"/>
          <w:szCs w:val="30"/>
        </w:rPr>
        <w:t>未被列入“信用中国”网站失信被执行人、重大税收违法案件当事人名单、政府采购严重违法失信行为记录名单的网页</w:t>
      </w:r>
      <w:r>
        <w:rPr>
          <w:rFonts w:hint="eastAsia" w:ascii="Times New Roman" w:hAnsi="Times New Roman" w:cs="Times New Roman"/>
          <w:bCs/>
          <w:color w:val="000000"/>
          <w:sz w:val="30"/>
          <w:szCs w:val="30"/>
        </w:rPr>
        <w:t>截图</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color w:val="000000" w:themeColor="text1"/>
        </w:rPr>
      </w:pPr>
      <w:r>
        <w:rPr>
          <w:rFonts w:ascii="Times New Roman" w:hAnsi="Times New Roman" w:cs="Times New Roman"/>
          <w:sz w:val="24"/>
        </w:rPr>
        <w:t>（供应商自行打印）</w:t>
      </w:r>
    </w:p>
    <w:p>
      <w:pPr>
        <w:spacing w:line="360" w:lineRule="auto"/>
        <w:rPr>
          <w:rFonts w:ascii="Times New Roman" w:hAnsi="Times New Roman" w:cs="Times New Roman"/>
          <w:color w:val="000000" w:themeColor="text1"/>
        </w:rPr>
      </w:pP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br w:type="page"/>
      </w:r>
    </w:p>
    <w:p>
      <w:pPr>
        <w:outlineLvl w:val="0"/>
        <w:rPr>
          <w:rFonts w:asciiTheme="minorEastAsia" w:hAnsiTheme="minorEastAsia"/>
          <w:sz w:val="24"/>
        </w:rPr>
      </w:pPr>
      <w:bookmarkStart w:id="0" w:name="_Toc1837"/>
      <w:r>
        <w:rPr>
          <w:rFonts w:hint="eastAsia" w:asciiTheme="minorEastAsia" w:hAnsiTheme="minorEastAsia"/>
          <w:sz w:val="24"/>
        </w:rPr>
        <w:t>附件13</w:t>
      </w:r>
      <w:bookmarkEnd w:id="0"/>
      <w:r>
        <w:rPr>
          <w:rFonts w:hint="eastAsia" w:asciiTheme="minorEastAsia" w:hAnsiTheme="minorEastAsia"/>
          <w:sz w:val="24"/>
        </w:rPr>
        <w:t>-1</w:t>
      </w:r>
    </w:p>
    <w:p>
      <w:pPr>
        <w:spacing w:line="360" w:lineRule="auto"/>
        <w:jc w:val="center"/>
        <w:rPr>
          <w:sz w:val="32"/>
          <w:szCs w:val="32"/>
        </w:rPr>
      </w:pPr>
    </w:p>
    <w:p>
      <w:pPr>
        <w:spacing w:line="360" w:lineRule="auto"/>
        <w:jc w:val="center"/>
        <w:rPr>
          <w:sz w:val="32"/>
          <w:szCs w:val="32"/>
        </w:rPr>
      </w:pPr>
      <w:r>
        <w:rPr>
          <w:rFonts w:hint="eastAsia"/>
          <w:sz w:val="32"/>
          <w:szCs w:val="32"/>
        </w:rPr>
        <w:t>中小企业声明函</w:t>
      </w:r>
    </w:p>
    <w:p>
      <w:pPr>
        <w:spacing w:line="360" w:lineRule="auto"/>
        <w:rPr>
          <w:sz w:val="32"/>
          <w:szCs w:val="32"/>
        </w:rPr>
      </w:pPr>
      <w:r>
        <w:rPr>
          <w:rFonts w:hint="eastAsia"/>
          <w:sz w:val="32"/>
          <w:szCs w:val="32"/>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本公司郑重声明，根据《政府采购促进中小企业发展暂行办法》（财库〔2011〕181号）的规定，本公司为______（请填写：中型、小型、微型）企业。即，本公司同时满足以下条件：</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本公司对上述声明的真实性负责。如有虚假，将依法承担相应责任。</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企业名称（盖章）：</w:t>
      </w:r>
    </w:p>
    <w:p>
      <w:pPr>
        <w:spacing w:line="360" w:lineRule="auto"/>
        <w:ind w:firstLine="480" w:firstLineChars="200"/>
        <w:rPr>
          <w:rFonts w:asciiTheme="majorEastAsia" w:hAnsiTheme="majorEastAsia" w:eastAsiaTheme="majorEastAsia"/>
          <w:sz w:val="24"/>
        </w:rPr>
        <w:sectPr>
          <w:footerReference r:id="rId5" w:type="default"/>
          <w:pgSz w:w="11906" w:h="16838"/>
          <w:pgMar w:top="1440" w:right="1797" w:bottom="1440" w:left="1797" w:header="851" w:footer="992" w:gutter="0"/>
          <w:cols w:space="425" w:num="1"/>
          <w:docGrid w:linePitch="312" w:charSpace="0"/>
        </w:sectPr>
      </w:pPr>
      <w:r>
        <w:rPr>
          <w:rFonts w:hint="eastAsia" w:asciiTheme="majorEastAsia" w:hAnsiTheme="majorEastAsia" w:eastAsiaTheme="majorEastAsia"/>
          <w:sz w:val="24"/>
        </w:rPr>
        <w:t>企业法人（负责人）签字（签章）：</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日</w:t>
      </w:r>
      <w:r>
        <w:rPr>
          <w:rFonts w:hint="eastAsia" w:cs="宋体" w:asciiTheme="majorEastAsia" w:hAnsiTheme="majorEastAsia" w:eastAsiaTheme="majorEastAsia"/>
          <w:sz w:val="24"/>
        </w:rPr>
        <w:t>  </w:t>
      </w:r>
      <w:r>
        <w:rPr>
          <w:rFonts w:hint="eastAsia" w:asciiTheme="majorEastAsia" w:hAnsiTheme="majorEastAsia" w:eastAsiaTheme="majorEastAsia"/>
          <w:sz w:val="24"/>
        </w:rPr>
        <w:t>期：</w:t>
      </w:r>
    </w:p>
    <w:p>
      <w:pPr>
        <w:spacing w:line="360" w:lineRule="auto"/>
        <w:jc w:val="center"/>
        <w:rPr>
          <w:rFonts w:ascii="宋体" w:hAnsi="宋体" w:cs="宋体"/>
          <w:kern w:val="0"/>
          <w:sz w:val="36"/>
          <w:szCs w:val="36"/>
        </w:rPr>
      </w:pPr>
      <w:r>
        <w:rPr>
          <w:rFonts w:hint="eastAsia" w:ascii="宋体" w:hAnsi="宋体" w:cs="宋体"/>
          <w:kern w:val="0"/>
          <w:sz w:val="36"/>
          <w:szCs w:val="36"/>
        </w:rPr>
        <w:t>中小企业划型标准</w:t>
      </w:r>
    </w:p>
    <w:tbl>
      <w:tblPr>
        <w:tblStyle w:val="10"/>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1" w:leftChars="-40" w:right="-57" w:rightChars="-27" w:hanging="165" w:hangingChars="79"/>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Cs w:val="21"/>
              </w:rPr>
            </w:pPr>
            <w:r>
              <w:rPr>
                <w:rFonts w:hint="eastAsia" w:ascii="宋体" w:hAnsi="宋体" w:cs="宋体"/>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27" w:leftChars="-40" w:right="-57" w:rightChars="-27" w:hanging="111" w:hangingChars="53"/>
              <w:jc w:val="center"/>
              <w:rPr>
                <w:rFonts w:ascii="宋体" w:hAnsi="宋体" w:cs="宋体"/>
                <w:kern w:val="0"/>
                <w:szCs w:val="21"/>
              </w:rPr>
            </w:pPr>
            <w:r>
              <w:rPr>
                <w:rFonts w:hint="eastAsia" w:ascii="宋体" w:hAnsi="宋体" w:cs="宋体"/>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Cs w:val="21"/>
              </w:rPr>
            </w:pPr>
            <w:r>
              <w:rPr>
                <w:rFonts w:hint="eastAsia" w:ascii="宋体" w:hAnsi="宋体" w:cs="宋体"/>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bl>
    <w:p>
      <w:pPr>
        <w:spacing w:line="360" w:lineRule="auto"/>
        <w:rPr>
          <w:rFonts w:asciiTheme="majorEastAsia" w:hAnsiTheme="majorEastAsia" w:eastAsiaTheme="majorEastAsia"/>
          <w:sz w:val="24"/>
        </w:rPr>
        <w:sectPr>
          <w:pgSz w:w="16838" w:h="11906" w:orient="landscape"/>
          <w:pgMar w:top="1797" w:right="1440" w:bottom="1797" w:left="1440" w:header="851" w:footer="992" w:gutter="0"/>
          <w:cols w:space="425" w:num="1"/>
          <w:docGrid w:linePitch="312" w:charSpace="0"/>
        </w:sectPr>
      </w:pPr>
    </w:p>
    <w:p>
      <w:pPr>
        <w:spacing w:line="360" w:lineRule="auto"/>
        <w:rPr>
          <w:sz w:val="24"/>
        </w:rPr>
      </w:pPr>
      <w:r>
        <w:rPr>
          <w:rFonts w:hint="eastAsia"/>
          <w:sz w:val="24"/>
        </w:rPr>
        <w:t>附件13-2</w:t>
      </w:r>
    </w:p>
    <w:p>
      <w:pPr>
        <w:spacing w:line="360" w:lineRule="auto"/>
        <w:ind w:firstLine="667"/>
        <w:jc w:val="center"/>
        <w:rPr>
          <w:rFonts w:asciiTheme="majorEastAsia" w:hAnsiTheme="majorEastAsia" w:eastAsiaTheme="majorEastAsia"/>
          <w:spacing w:val="6"/>
          <w:sz w:val="32"/>
          <w:szCs w:val="32"/>
        </w:rPr>
      </w:pPr>
      <w:bookmarkStart w:id="1" w:name="OLE_LINK13"/>
      <w:bookmarkStart w:id="2" w:name="OLE_LINK14"/>
      <w:r>
        <w:rPr>
          <w:rFonts w:asciiTheme="majorEastAsia" w:hAnsiTheme="majorEastAsia" w:eastAsiaTheme="majorEastAsia"/>
          <w:spacing w:val="6"/>
          <w:sz w:val="32"/>
          <w:szCs w:val="32"/>
        </w:rPr>
        <w:t>残疾人福利性单位声明函</w:t>
      </w:r>
    </w:p>
    <w:bookmarkEnd w:id="1"/>
    <w:bookmarkEnd w:id="2"/>
    <w:p>
      <w:pPr>
        <w:spacing w:line="360" w:lineRule="auto"/>
        <w:ind w:firstLine="626"/>
        <w:rPr>
          <w:rFonts w:eastAsia="仿宋_GB2312"/>
          <w:spacing w:val="6"/>
          <w:sz w:val="30"/>
          <w:szCs w:val="30"/>
        </w:rPr>
      </w:pPr>
    </w:p>
    <w:p>
      <w:pPr>
        <w:spacing w:line="360" w:lineRule="auto"/>
        <w:ind w:firstLine="624"/>
        <w:rPr>
          <w:rFonts w:asciiTheme="majorEastAsia" w:hAnsiTheme="majorEastAsia" w:eastAsiaTheme="majorEastAsia"/>
          <w:spacing w:val="6"/>
          <w:sz w:val="28"/>
          <w:szCs w:val="28"/>
        </w:rPr>
      </w:pPr>
      <w:r>
        <w:rPr>
          <w:rFonts w:asciiTheme="majorEastAsia" w:hAnsiTheme="majorEastAsia" w:eastAsiaTheme="majorEastAsia"/>
          <w:spacing w:val="6"/>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24"/>
        <w:rPr>
          <w:rFonts w:asciiTheme="majorEastAsia" w:hAnsiTheme="majorEastAsia" w:eastAsiaTheme="majorEastAsia"/>
          <w:spacing w:val="6"/>
          <w:sz w:val="28"/>
          <w:szCs w:val="28"/>
        </w:rPr>
      </w:pPr>
      <w:r>
        <w:rPr>
          <w:rFonts w:asciiTheme="majorEastAsia" w:hAnsiTheme="majorEastAsia" w:eastAsiaTheme="majorEastAsia"/>
          <w:spacing w:val="6"/>
          <w:sz w:val="28"/>
          <w:szCs w:val="28"/>
        </w:rPr>
        <w:t>本单位对上述声明的真实性负责。如有虚假，将依法承担相应责任。</w:t>
      </w:r>
    </w:p>
    <w:p>
      <w:pPr>
        <w:spacing w:line="360" w:lineRule="auto"/>
        <w:ind w:firstLine="624"/>
        <w:rPr>
          <w:rFonts w:asciiTheme="majorEastAsia" w:hAnsiTheme="majorEastAsia" w:eastAsiaTheme="majorEastAsia"/>
          <w:spacing w:val="6"/>
          <w:sz w:val="28"/>
          <w:szCs w:val="28"/>
        </w:rPr>
      </w:pPr>
    </w:p>
    <w:p>
      <w:pPr>
        <w:spacing w:line="360" w:lineRule="auto"/>
        <w:ind w:firstLine="624"/>
        <w:rPr>
          <w:rFonts w:asciiTheme="majorEastAsia" w:hAnsiTheme="majorEastAsia" w:eastAsiaTheme="majorEastAsia"/>
          <w:spacing w:val="6"/>
          <w:sz w:val="28"/>
          <w:szCs w:val="28"/>
        </w:rPr>
      </w:pPr>
    </w:p>
    <w:p>
      <w:pPr>
        <w:tabs>
          <w:tab w:val="left" w:pos="4860"/>
        </w:tabs>
        <w:spacing w:line="360" w:lineRule="auto"/>
        <w:ind w:right="1560" w:firstLine="624"/>
        <w:jc w:val="center"/>
        <w:rPr>
          <w:rFonts w:asciiTheme="majorEastAsia" w:hAnsiTheme="majorEastAsia" w:eastAsiaTheme="majorEastAsia"/>
          <w:spacing w:val="6"/>
          <w:sz w:val="28"/>
          <w:szCs w:val="28"/>
        </w:rPr>
      </w:pPr>
      <w:r>
        <w:rPr>
          <w:rFonts w:asciiTheme="majorEastAsia" w:hAnsiTheme="majorEastAsia" w:eastAsiaTheme="majorEastAsia"/>
          <w:spacing w:val="6"/>
          <w:sz w:val="28"/>
          <w:szCs w:val="28"/>
        </w:rPr>
        <w:t xml:space="preserve">               单位名称（盖章）：</w:t>
      </w:r>
    </w:p>
    <w:p>
      <w:pPr>
        <w:tabs>
          <w:tab w:val="left" w:pos="4860"/>
        </w:tabs>
        <w:spacing w:line="360" w:lineRule="auto"/>
        <w:ind w:right="1560" w:firstLine="624"/>
        <w:jc w:val="center"/>
        <w:rPr>
          <w:rFonts w:asciiTheme="majorEastAsia" w:hAnsiTheme="majorEastAsia" w:eastAsiaTheme="majorEastAsia"/>
          <w:spacing w:val="6"/>
          <w:sz w:val="28"/>
          <w:szCs w:val="28"/>
        </w:rPr>
      </w:pPr>
      <w:r>
        <w:rPr>
          <w:rFonts w:asciiTheme="majorEastAsia" w:hAnsiTheme="majorEastAsia" w:eastAsiaTheme="majorEastAsia"/>
          <w:spacing w:val="6"/>
          <w:sz w:val="28"/>
          <w:szCs w:val="28"/>
        </w:rPr>
        <w:t xml:space="preserve">       日  期：</w:t>
      </w:r>
    </w:p>
    <w:p>
      <w:pPr>
        <w:widowControl/>
        <w:spacing w:line="360" w:lineRule="auto"/>
        <w:jc w:val="left"/>
        <w:rPr>
          <w:rFonts w:ascii="宋体" w:hAnsi="宋体"/>
          <w:bCs/>
          <w:color w:val="000000"/>
          <w:sz w:val="32"/>
          <w:szCs w:val="32"/>
        </w:rPr>
      </w:pPr>
      <w:r>
        <w:rPr>
          <w:rFonts w:ascii="宋体" w:hAnsi="宋体"/>
          <w:bCs/>
          <w:color w:val="000000"/>
          <w:sz w:val="32"/>
          <w:szCs w:val="32"/>
        </w:rPr>
        <w:br w:type="page"/>
      </w:r>
    </w:p>
    <w:p>
      <w:pPr>
        <w:spacing w:line="360" w:lineRule="auto"/>
        <w:rPr>
          <w:sz w:val="24"/>
        </w:rPr>
      </w:pPr>
      <w:r>
        <w:rPr>
          <w:rFonts w:hint="eastAsia"/>
          <w:sz w:val="24"/>
        </w:rPr>
        <w:t>附件13-3</w:t>
      </w:r>
    </w:p>
    <w:p>
      <w:pPr>
        <w:spacing w:line="360" w:lineRule="auto"/>
        <w:rPr>
          <w:sz w:val="24"/>
        </w:rPr>
      </w:pPr>
    </w:p>
    <w:p>
      <w:pPr>
        <w:tabs>
          <w:tab w:val="left" w:pos="7665"/>
        </w:tabs>
        <w:spacing w:line="360" w:lineRule="auto"/>
        <w:jc w:val="center"/>
        <w:outlineLvl w:val="1"/>
        <w:rPr>
          <w:rFonts w:ascii="宋体" w:hAnsi="宋体"/>
          <w:bCs/>
          <w:color w:val="000000"/>
          <w:sz w:val="32"/>
          <w:szCs w:val="32"/>
        </w:rPr>
      </w:pPr>
      <w:r>
        <w:rPr>
          <w:rFonts w:hint="eastAsia" w:ascii="宋体" w:hAnsi="宋体"/>
          <w:bCs/>
          <w:color w:val="000000"/>
          <w:sz w:val="32"/>
          <w:szCs w:val="32"/>
        </w:rPr>
        <w:t>省级以上监狱管理局、戒毒管理局（含新疆生产建设兵团）出具的属于监狱企业的证明文件</w:t>
      </w:r>
      <w:r>
        <w:rPr>
          <w:rFonts w:hint="eastAsia" w:ascii="宋体" w:hAnsi="宋体"/>
          <w:bCs/>
          <w:color w:val="000000"/>
          <w:sz w:val="32"/>
          <w:szCs w:val="32"/>
        </w:rPr>
        <w:br w:type="textWrapping"/>
      </w:r>
      <w:r>
        <w:rPr>
          <w:rFonts w:ascii="宋体" w:hAnsi="宋体"/>
          <w:bCs/>
          <w:color w:val="000000"/>
          <w:sz w:val="32"/>
          <w:szCs w:val="32"/>
        </w:rPr>
        <w:br w:type="textWrapping"/>
      </w:r>
    </w:p>
    <w:p>
      <w:pPr>
        <w:widowControl/>
        <w:spacing w:line="360" w:lineRule="auto"/>
        <w:jc w:val="left"/>
        <w:rPr>
          <w:rFonts w:ascii="宋体" w:hAnsi="宋体"/>
          <w:bCs/>
          <w:color w:val="000000"/>
          <w:sz w:val="32"/>
          <w:szCs w:val="32"/>
        </w:rPr>
      </w:pPr>
      <w:r>
        <w:rPr>
          <w:rFonts w:ascii="宋体" w:hAnsi="宋体"/>
          <w:bCs/>
          <w:color w:val="000000"/>
          <w:sz w:val="32"/>
          <w:szCs w:val="32"/>
        </w:rPr>
        <w:br w:type="page"/>
      </w:r>
    </w:p>
    <w:p>
      <w:pPr>
        <w:tabs>
          <w:tab w:val="left" w:pos="7665"/>
        </w:tabs>
        <w:spacing w:line="360" w:lineRule="auto"/>
        <w:jc w:val="center"/>
        <w:outlineLvl w:val="1"/>
        <w:rPr>
          <w:color w:val="000000" w:themeColor="text1"/>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spacing w:line="360" w:lineRule="auto"/>
        <w:rPr>
          <w:rFonts w:asciiTheme="majorEastAsia" w:hAnsiTheme="majorEastAsia" w:eastAsiaTheme="majorEastAsia"/>
          <w:sz w:val="24"/>
        </w:rPr>
      </w:pPr>
    </w:p>
    <w:p>
      <w:pPr>
        <w:widowControl/>
        <w:spacing w:line="360" w:lineRule="auto"/>
        <w:jc w:val="left"/>
        <w:rPr>
          <w:rFonts w:ascii="Times New Roman" w:hAnsi="Times New Roman" w:cs="Times New Roman"/>
          <w:bCs/>
          <w:color w:val="000000"/>
          <w:sz w:val="24"/>
        </w:rPr>
      </w:pPr>
    </w:p>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186621"/>
    </w:sdtPr>
    <w:sdtContent>
      <w:p>
        <w:pPr>
          <w:pStyle w:val="7"/>
          <w:jc w:val="center"/>
        </w:pPr>
        <w:r>
          <w:fldChar w:fldCharType="begin"/>
        </w:r>
        <w:r>
          <w:instrText xml:space="preserve"> PAGE   \* MERGEFORMAT </w:instrText>
        </w:r>
        <w:r>
          <w:fldChar w:fldCharType="separate"/>
        </w:r>
        <w:r>
          <w:rPr>
            <w:lang w:val="zh-CN"/>
          </w:rPr>
          <w:t>17</w:t>
        </w:r>
        <w:r>
          <w:rPr>
            <w:lang w:val="zh-C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7"/>
          <w:jc w:val="center"/>
        </w:pPr>
        <w:r>
          <w:fldChar w:fldCharType="begin"/>
        </w:r>
        <w:r>
          <w:instrText xml:space="preserve">PAGE   \* MERGEFORMAT</w:instrText>
        </w:r>
        <w:r>
          <w:fldChar w:fldCharType="separate"/>
        </w:r>
        <w:r>
          <w:rPr>
            <w:lang w:val="zh-CN"/>
          </w:rPr>
          <w:t>21</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666"/>
    <w:rsid w:val="00037B9D"/>
    <w:rsid w:val="00073434"/>
    <w:rsid w:val="000A32DD"/>
    <w:rsid w:val="000B4628"/>
    <w:rsid w:val="000B7112"/>
    <w:rsid w:val="000C66B2"/>
    <w:rsid w:val="000E7EDE"/>
    <w:rsid w:val="00147431"/>
    <w:rsid w:val="00164E31"/>
    <w:rsid w:val="00172F58"/>
    <w:rsid w:val="001A67A6"/>
    <w:rsid w:val="001F73B6"/>
    <w:rsid w:val="001F7D4D"/>
    <w:rsid w:val="00226599"/>
    <w:rsid w:val="002446D8"/>
    <w:rsid w:val="002552F6"/>
    <w:rsid w:val="00256999"/>
    <w:rsid w:val="0028009E"/>
    <w:rsid w:val="00284666"/>
    <w:rsid w:val="002C7D02"/>
    <w:rsid w:val="002D43EC"/>
    <w:rsid w:val="002D5813"/>
    <w:rsid w:val="002F4283"/>
    <w:rsid w:val="00303675"/>
    <w:rsid w:val="0033455D"/>
    <w:rsid w:val="003C1252"/>
    <w:rsid w:val="003D4F80"/>
    <w:rsid w:val="00443A32"/>
    <w:rsid w:val="00447104"/>
    <w:rsid w:val="00490FD5"/>
    <w:rsid w:val="00491237"/>
    <w:rsid w:val="004E2DD2"/>
    <w:rsid w:val="00513758"/>
    <w:rsid w:val="00526EFC"/>
    <w:rsid w:val="00527B97"/>
    <w:rsid w:val="00534A98"/>
    <w:rsid w:val="00557043"/>
    <w:rsid w:val="00566B07"/>
    <w:rsid w:val="00570560"/>
    <w:rsid w:val="00595A0E"/>
    <w:rsid w:val="005C1F23"/>
    <w:rsid w:val="00603DA9"/>
    <w:rsid w:val="00604189"/>
    <w:rsid w:val="006E6C11"/>
    <w:rsid w:val="00754732"/>
    <w:rsid w:val="0076137B"/>
    <w:rsid w:val="00781B3A"/>
    <w:rsid w:val="007A2CCE"/>
    <w:rsid w:val="007C0691"/>
    <w:rsid w:val="0081047B"/>
    <w:rsid w:val="00822352"/>
    <w:rsid w:val="00867359"/>
    <w:rsid w:val="008A0034"/>
    <w:rsid w:val="008D1135"/>
    <w:rsid w:val="00923682"/>
    <w:rsid w:val="0095401B"/>
    <w:rsid w:val="00982B17"/>
    <w:rsid w:val="009D5E02"/>
    <w:rsid w:val="00A048C5"/>
    <w:rsid w:val="00A071D6"/>
    <w:rsid w:val="00A33534"/>
    <w:rsid w:val="00A40D4A"/>
    <w:rsid w:val="00AB7C38"/>
    <w:rsid w:val="00AF71FA"/>
    <w:rsid w:val="00B70AA5"/>
    <w:rsid w:val="00B970BC"/>
    <w:rsid w:val="00C53D38"/>
    <w:rsid w:val="00C67F5B"/>
    <w:rsid w:val="00C967F8"/>
    <w:rsid w:val="00CC6130"/>
    <w:rsid w:val="00CD682C"/>
    <w:rsid w:val="00D1010B"/>
    <w:rsid w:val="00D3173F"/>
    <w:rsid w:val="00D576BC"/>
    <w:rsid w:val="00D93497"/>
    <w:rsid w:val="00DE7C91"/>
    <w:rsid w:val="00F01EDE"/>
    <w:rsid w:val="00F31376"/>
    <w:rsid w:val="00F50EDD"/>
    <w:rsid w:val="00F6213C"/>
    <w:rsid w:val="00F94CB1"/>
    <w:rsid w:val="00FD2519"/>
    <w:rsid w:val="01756AD9"/>
    <w:rsid w:val="07836BBC"/>
    <w:rsid w:val="12531B74"/>
    <w:rsid w:val="12FC0017"/>
    <w:rsid w:val="1612418C"/>
    <w:rsid w:val="174510CC"/>
    <w:rsid w:val="1E475E5D"/>
    <w:rsid w:val="1FE0786C"/>
    <w:rsid w:val="21D957F5"/>
    <w:rsid w:val="2CCC10A5"/>
    <w:rsid w:val="31314397"/>
    <w:rsid w:val="39246845"/>
    <w:rsid w:val="50CE26CE"/>
    <w:rsid w:val="52971CBA"/>
    <w:rsid w:val="56BA6E81"/>
    <w:rsid w:val="7B822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3">
    <w:name w:val="annotation text"/>
    <w:basedOn w:val="1"/>
    <w:link w:val="35"/>
    <w:qFormat/>
    <w:uiPriority w:val="0"/>
    <w:pPr>
      <w:jc w:val="left"/>
    </w:pPr>
    <w:rPr>
      <w:rFonts w:ascii="Times New Roman" w:hAnsi="Times New Roman" w:eastAsia="宋体" w:cs="Times New Roman"/>
      <w:szCs w:val="20"/>
    </w:rPr>
  </w:style>
  <w:style w:type="paragraph" w:styleId="4">
    <w:name w:val="Body Text"/>
    <w:basedOn w:val="1"/>
    <w:link w:val="15"/>
    <w:qFormat/>
    <w:uiPriority w:val="1"/>
    <w:pPr>
      <w:autoSpaceDE w:val="0"/>
      <w:autoSpaceDN w:val="0"/>
      <w:adjustRightInd w:val="0"/>
      <w:ind w:left="108"/>
      <w:jc w:val="left"/>
    </w:pPr>
    <w:rPr>
      <w:rFonts w:ascii="宋体" w:hAnsi="Times New Roman" w:cs="宋体"/>
      <w:kern w:val="0"/>
      <w:szCs w:val="21"/>
    </w:rPr>
  </w:style>
  <w:style w:type="paragraph" w:styleId="5">
    <w:name w:val="Plain Text"/>
    <w:basedOn w:val="1"/>
    <w:link w:val="16"/>
    <w:qFormat/>
    <w:uiPriority w:val="0"/>
    <w:rPr>
      <w:rFonts w:ascii="宋体" w:hAnsi="Courier New" w:eastAsia="宋体" w:cs="Courier New"/>
      <w:szCs w:val="21"/>
    </w:rPr>
  </w:style>
  <w:style w:type="paragraph" w:styleId="6">
    <w:name w:val="Balloon Text"/>
    <w:basedOn w:val="1"/>
    <w:link w:val="17"/>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rFonts w:cs="Times New Roman"/>
      <w:kern w:val="0"/>
      <w:sz w:val="24"/>
    </w:rPr>
  </w:style>
  <w:style w:type="table" w:styleId="11">
    <w:name w:val="Table Grid"/>
    <w:basedOn w:val="1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Hyperlink"/>
    <w:basedOn w:val="12"/>
    <w:unhideWhenUsed/>
    <w:qFormat/>
    <w:uiPriority w:val="99"/>
    <w:rPr>
      <w:color w:val="0000FF" w:themeColor="hyperlink"/>
      <w:u w:val="single"/>
    </w:rPr>
  </w:style>
  <w:style w:type="character" w:customStyle="1" w:styleId="15">
    <w:name w:val="正文文本 Char"/>
    <w:basedOn w:val="12"/>
    <w:link w:val="4"/>
    <w:qFormat/>
    <w:uiPriority w:val="1"/>
    <w:rPr>
      <w:rFonts w:ascii="宋体" w:hAnsi="Times New Roman" w:cs="宋体"/>
      <w:kern w:val="0"/>
      <w:szCs w:val="21"/>
    </w:rPr>
  </w:style>
  <w:style w:type="character" w:customStyle="1" w:styleId="16">
    <w:name w:val="纯文本 Char"/>
    <w:basedOn w:val="12"/>
    <w:link w:val="5"/>
    <w:qFormat/>
    <w:uiPriority w:val="0"/>
    <w:rPr>
      <w:rFonts w:ascii="宋体" w:hAnsi="Courier New" w:eastAsia="宋体" w:cs="Courier New"/>
      <w:szCs w:val="21"/>
    </w:rPr>
  </w:style>
  <w:style w:type="character" w:customStyle="1" w:styleId="17">
    <w:name w:val="批注框文本 Char"/>
    <w:basedOn w:val="12"/>
    <w:link w:val="6"/>
    <w:qFormat/>
    <w:uiPriority w:val="99"/>
    <w:rPr>
      <w:sz w:val="18"/>
      <w:szCs w:val="18"/>
    </w:rPr>
  </w:style>
  <w:style w:type="character" w:customStyle="1" w:styleId="18">
    <w:name w:val="页脚 Char"/>
    <w:basedOn w:val="12"/>
    <w:link w:val="7"/>
    <w:qFormat/>
    <w:uiPriority w:val="99"/>
    <w:rPr>
      <w:sz w:val="18"/>
      <w:szCs w:val="18"/>
    </w:rPr>
  </w:style>
  <w:style w:type="character" w:customStyle="1" w:styleId="19">
    <w:name w:val="页眉 Char"/>
    <w:basedOn w:val="12"/>
    <w:link w:val="8"/>
    <w:qFormat/>
    <w:uiPriority w:val="99"/>
    <w:rPr>
      <w:sz w:val="18"/>
      <w:szCs w:val="18"/>
    </w:rPr>
  </w:style>
  <w:style w:type="paragraph" w:customStyle="1" w:styleId="20">
    <w:name w:val="列出段落1"/>
    <w:basedOn w:val="1"/>
    <w:qFormat/>
    <w:uiPriority w:val="34"/>
    <w:pPr>
      <w:ind w:firstLine="420" w:firstLineChars="200"/>
    </w:pPr>
  </w:style>
  <w:style w:type="character" w:customStyle="1" w:styleId="21">
    <w:name w:val="font01"/>
    <w:basedOn w:val="12"/>
    <w:qFormat/>
    <w:uiPriority w:val="0"/>
    <w:rPr>
      <w:rFonts w:ascii="Helvetica" w:hAnsi="Helvetica" w:eastAsia="Helvetica" w:cs="Helvetica"/>
      <w:color w:val="000000"/>
      <w:sz w:val="16"/>
      <w:szCs w:val="16"/>
      <w:u w:val="none"/>
    </w:rPr>
  </w:style>
  <w:style w:type="character" w:customStyle="1" w:styleId="22">
    <w:name w:val="font41"/>
    <w:basedOn w:val="12"/>
    <w:qFormat/>
    <w:uiPriority w:val="0"/>
    <w:rPr>
      <w:rFonts w:hint="eastAsia" w:ascii="宋体" w:hAnsi="宋体" w:eastAsia="宋体" w:cs="宋体"/>
      <w:color w:val="000000"/>
      <w:sz w:val="16"/>
      <w:szCs w:val="16"/>
      <w:u w:val="none"/>
    </w:rPr>
  </w:style>
  <w:style w:type="character" w:customStyle="1" w:styleId="23">
    <w:name w:val="font11"/>
    <w:basedOn w:val="12"/>
    <w:qFormat/>
    <w:uiPriority w:val="0"/>
    <w:rPr>
      <w:rFonts w:hint="default" w:ascii="Times New Roman" w:hAnsi="Times New Roman" w:cs="Times New Roman"/>
      <w:color w:val="000000"/>
      <w:sz w:val="16"/>
      <w:szCs w:val="16"/>
      <w:u w:val="none"/>
    </w:rPr>
  </w:style>
  <w:style w:type="character" w:customStyle="1" w:styleId="24">
    <w:name w:val="font21"/>
    <w:basedOn w:val="12"/>
    <w:qFormat/>
    <w:uiPriority w:val="0"/>
    <w:rPr>
      <w:rFonts w:ascii="Helvetica" w:hAnsi="Helvetica" w:eastAsia="Helvetica" w:cs="Helvetica"/>
      <w:color w:val="000000"/>
      <w:sz w:val="16"/>
      <w:szCs w:val="16"/>
      <w:u w:val="none"/>
    </w:rPr>
  </w:style>
  <w:style w:type="character" w:customStyle="1" w:styleId="25">
    <w:name w:val="font51"/>
    <w:basedOn w:val="12"/>
    <w:qFormat/>
    <w:uiPriority w:val="0"/>
    <w:rPr>
      <w:rFonts w:hint="eastAsia" w:ascii="宋体" w:hAnsi="宋体" w:eastAsia="宋体" w:cs="宋体"/>
      <w:color w:val="000000"/>
      <w:sz w:val="16"/>
      <w:szCs w:val="16"/>
      <w:u w:val="none"/>
    </w:rPr>
  </w:style>
  <w:style w:type="character" w:customStyle="1" w:styleId="26">
    <w:name w:val="font31"/>
    <w:basedOn w:val="12"/>
    <w:qFormat/>
    <w:uiPriority w:val="0"/>
    <w:rPr>
      <w:rFonts w:hint="eastAsia" w:ascii="宋体" w:hAnsi="宋体" w:eastAsia="宋体" w:cs="宋体"/>
      <w:color w:val="000000"/>
      <w:sz w:val="16"/>
      <w:szCs w:val="16"/>
      <w:u w:val="none"/>
    </w:rPr>
  </w:style>
  <w:style w:type="character" w:customStyle="1" w:styleId="27">
    <w:name w:val="font61"/>
    <w:basedOn w:val="12"/>
    <w:qFormat/>
    <w:uiPriority w:val="0"/>
    <w:rPr>
      <w:rFonts w:hint="eastAsia" w:ascii="宋体" w:hAnsi="宋体" w:eastAsia="宋体" w:cs="宋体"/>
      <w:color w:val="000000"/>
      <w:sz w:val="16"/>
      <w:szCs w:val="16"/>
      <w:u w:val="none"/>
    </w:rPr>
  </w:style>
  <w:style w:type="character" w:customStyle="1" w:styleId="28">
    <w:name w:val="font71"/>
    <w:basedOn w:val="12"/>
    <w:qFormat/>
    <w:uiPriority w:val="0"/>
    <w:rPr>
      <w:rFonts w:ascii="Helvetica" w:hAnsi="Helvetica" w:eastAsia="Helvetica" w:cs="Helvetica"/>
      <w:color w:val="000000"/>
      <w:sz w:val="16"/>
      <w:szCs w:val="16"/>
      <w:u w:val="none"/>
    </w:rPr>
  </w:style>
  <w:style w:type="character" w:customStyle="1" w:styleId="29">
    <w:name w:val="font91"/>
    <w:basedOn w:val="12"/>
    <w:qFormat/>
    <w:uiPriority w:val="0"/>
    <w:rPr>
      <w:rFonts w:hint="default" w:ascii="Times New Roman" w:hAnsi="Times New Roman" w:cs="Times New Roman"/>
      <w:color w:val="000000"/>
      <w:sz w:val="16"/>
      <w:szCs w:val="16"/>
      <w:u w:val="none"/>
    </w:rPr>
  </w:style>
  <w:style w:type="character" w:customStyle="1" w:styleId="30">
    <w:name w:val="font81"/>
    <w:basedOn w:val="12"/>
    <w:qFormat/>
    <w:uiPriority w:val="0"/>
    <w:rPr>
      <w:rFonts w:hint="eastAsia" w:ascii="宋体" w:hAnsi="宋体" w:eastAsia="宋体" w:cs="宋体"/>
      <w:color w:val="000000"/>
      <w:sz w:val="16"/>
      <w:szCs w:val="16"/>
      <w:u w:val="none"/>
    </w:rPr>
  </w:style>
  <w:style w:type="paragraph" w:styleId="31">
    <w:name w:val="List Paragraph"/>
    <w:basedOn w:val="1"/>
    <w:qFormat/>
    <w:uiPriority w:val="99"/>
    <w:pPr>
      <w:ind w:firstLine="420" w:firstLineChars="200"/>
    </w:pPr>
    <w:rPr>
      <w:rFonts w:ascii="Calibri" w:hAnsi="Calibri" w:eastAsia="宋体" w:cs="Times New Roman"/>
      <w:szCs w:val="21"/>
    </w:rPr>
  </w:style>
  <w:style w:type="paragraph" w:customStyle="1" w:styleId="32">
    <w:name w:val="标题 31"/>
    <w:basedOn w:val="1"/>
    <w:qFormat/>
    <w:uiPriority w:val="1"/>
    <w:pPr>
      <w:autoSpaceDE w:val="0"/>
      <w:autoSpaceDN w:val="0"/>
      <w:adjustRightInd w:val="0"/>
      <w:ind w:left="528"/>
      <w:jc w:val="left"/>
      <w:outlineLvl w:val="2"/>
    </w:pPr>
    <w:rPr>
      <w:rFonts w:ascii="黑体" w:hAnsi="Times New Roman" w:eastAsia="黑体"/>
      <w:kern w:val="0"/>
      <w:sz w:val="30"/>
      <w:szCs w:val="30"/>
    </w:rPr>
  </w:style>
  <w:style w:type="paragraph" w:customStyle="1" w:styleId="33">
    <w:name w:val="pa-3"/>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批注文字 Char"/>
    <w:basedOn w:val="12"/>
    <w:link w:val="3"/>
    <w:qFormat/>
    <w:uiPriority w:val="0"/>
    <w:rPr>
      <w:rFonts w:ascii="Times New Roman" w:hAnsi="Times New Roman" w:eastAsia="宋体" w:cs="Times New Roman"/>
      <w:szCs w:val="20"/>
    </w:rPr>
  </w:style>
  <w:style w:type="character" w:customStyle="1" w:styleId="36">
    <w:name w:val="font101"/>
    <w:qFormat/>
    <w:uiPriority w:val="0"/>
    <w:rPr>
      <w:rFonts w:hint="default" w:ascii="Times New Roman" w:hAnsi="Times New Roman" w:cs="Times New Roman"/>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F1260-A2BE-4298-A6CD-6AF1E3E7375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2974</Words>
  <Characters>16953</Characters>
  <Lines>141</Lines>
  <Paragraphs>39</Paragraphs>
  <TotalTime>501</TotalTime>
  <ScaleCrop>false</ScaleCrop>
  <LinksUpToDate>false</LinksUpToDate>
  <CharactersWithSpaces>19888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2020-09-08T07:51:00Z</dcterms:created>
  <dc:creator>Administrator</dc:creator>
  <cp:lastModifiedBy>Administrator</cp:lastModifiedBy>
  <cp:lastPrinted>2020-09-14T01:01:00Z</cp:lastPrinted>
  <dcterms:modified xsi:type="dcterms:W3CDTF">2020-11-12T06:44:23Z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