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hint="eastAsia" w:ascii="Times New Roman" w:hAnsi="Times New Roman" w:cs="Times New Roman"/>
          <w:sz w:val="52"/>
          <w:szCs w:val="52"/>
        </w:rPr>
      </w:pPr>
    </w:p>
    <w:p>
      <w:pPr>
        <w:spacing w:line="360" w:lineRule="auto"/>
        <w:jc w:val="center"/>
        <w:rPr>
          <w:rFonts w:hint="eastAsia" w:ascii="Times New Roman" w:hAnsi="Times New Roman" w:cs="Times New Roman"/>
          <w:sz w:val="52"/>
          <w:szCs w:val="52"/>
        </w:rPr>
      </w:pPr>
    </w:p>
    <w:p>
      <w:pPr>
        <w:spacing w:line="360" w:lineRule="auto"/>
        <w:jc w:val="center"/>
        <w:rPr>
          <w:rFonts w:hint="eastAsia" w:ascii="Times New Roman" w:hAnsi="Times New Roman" w:cs="Times New Roman"/>
          <w:sz w:val="52"/>
          <w:szCs w:val="52"/>
        </w:rPr>
      </w:pPr>
    </w:p>
    <w:p>
      <w:pPr>
        <w:spacing w:line="360" w:lineRule="auto"/>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spacing w:line="360" w:lineRule="auto"/>
        <w:jc w:val="center"/>
        <w:rPr>
          <w:rFonts w:ascii="Times New Roman" w:hAnsi="Times New Roman" w:eastAsia="宋体" w:cs="Times New Roman"/>
          <w:bCs/>
          <w:color w:val="000000" w:themeColor="text1"/>
          <w:w w:val="66"/>
          <w:sz w:val="144"/>
          <w:szCs w:val="144"/>
        </w:rPr>
      </w:pPr>
      <w:r>
        <w:rPr>
          <w:rFonts w:ascii="Times New Roman" w:hAnsi="Times New Roman" w:eastAsia="宋体" w:cs="Times New Roman"/>
          <w:bCs/>
          <w:color w:val="000000" w:themeColor="text1"/>
          <w:w w:val="66"/>
          <w:sz w:val="144"/>
          <w:szCs w:val="144"/>
        </w:rPr>
        <w:t>竞争性磋商文件</w:t>
      </w: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both"/>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rPr>
          <w:rFonts w:ascii="Times New Roman" w:hAnsi="Times New Roman" w:cs="Times New Roman"/>
          <w:sz w:val="30"/>
          <w:szCs w:val="30"/>
        </w:rPr>
      </w:pPr>
      <w:r>
        <w:rPr>
          <w:rFonts w:ascii="Times New Roman" w:hAnsi="Times New Roman" w:cs="Times New Roman"/>
          <w:sz w:val="30"/>
          <w:szCs w:val="30"/>
        </w:rPr>
        <w:t>项目编号：</w:t>
      </w:r>
      <w:r>
        <w:rPr>
          <w:rFonts w:hint="eastAsia" w:ascii="Times New Roman" w:hAnsi="Times New Roman" w:cs="Times New Roman"/>
          <w:sz w:val="30"/>
          <w:szCs w:val="30"/>
        </w:rPr>
        <w:t xml:space="preserve"> </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131-2020CG-200  </w:t>
      </w:r>
      <w:r>
        <w:rPr>
          <w:rFonts w:hint="eastAsia"/>
          <w:color w:val="000000"/>
          <w:sz w:val="24"/>
          <w:u w:val="single"/>
          <w:lang w:val="en-US" w:eastAsia="zh-CN"/>
        </w:rPr>
        <w:t xml:space="preserve">   </w:t>
      </w:r>
      <w:r>
        <w:rPr>
          <w:rFonts w:hint="eastAsia" w:ascii="Times New Roman" w:hAnsi="Times New Roman" w:cs="Times New Roman"/>
          <w:sz w:val="30"/>
          <w:szCs w:val="30"/>
          <w:u w:val="single"/>
        </w:rPr>
        <w:t xml:space="preserve">              </w:t>
      </w:r>
    </w:p>
    <w:p>
      <w:pPr>
        <w:spacing w:line="360" w:lineRule="auto"/>
        <w:rPr>
          <w:rFonts w:ascii="Times New Roman" w:hAnsi="Times New Roman" w:cs="Times New Roman"/>
          <w:sz w:val="30"/>
          <w:szCs w:val="30"/>
        </w:rPr>
      </w:pPr>
      <w:r>
        <w:rPr>
          <w:rFonts w:hint="eastAsia" w:ascii="Times New Roman" w:hAnsi="Times New Roman" w:cs="Times New Roman"/>
          <w:sz w:val="30"/>
          <w:szCs w:val="30"/>
        </w:rPr>
        <w:t>采</w:t>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rPr>
        <w:t>购</w:t>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rPr>
        <w:t>人：</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阳新县土地整理中心</w:t>
      </w:r>
      <w:r>
        <w:rPr>
          <w:rFonts w:hint="eastAsia" w:ascii="Times New Roman" w:hAnsi="Times New Roman" w:cs="Times New Roman"/>
          <w:sz w:val="30"/>
          <w:szCs w:val="30"/>
          <w:u w:val="single"/>
        </w:rPr>
        <w:t xml:space="preserve">              </w:t>
      </w:r>
    </w:p>
    <w:p>
      <w:pPr>
        <w:spacing w:line="360" w:lineRule="auto"/>
        <w:rPr>
          <w:rFonts w:ascii="Times New Roman" w:hAnsi="Times New Roman" w:cs="Times New Roman"/>
          <w:sz w:val="30"/>
          <w:szCs w:val="30"/>
        </w:rPr>
      </w:pPr>
      <w:r>
        <w:rPr>
          <w:rFonts w:ascii="Times New Roman" w:hAnsi="Times New Roman" w:cs="Times New Roman"/>
          <w:sz w:val="30"/>
          <w:szCs w:val="30"/>
        </w:rPr>
        <w:t xml:space="preserve">项目名称： </w:t>
      </w:r>
      <w:bookmarkStart w:id="53" w:name="_GoBack"/>
      <w:r>
        <w:rPr>
          <w:rFonts w:hint="eastAsia" w:ascii="Times New Roman" w:hAnsi="Times New Roman" w:cs="Times New Roman"/>
          <w:sz w:val="30"/>
          <w:szCs w:val="30"/>
          <w:u w:val="single"/>
          <w:lang w:val="en-US" w:eastAsia="zh-CN"/>
        </w:rPr>
        <w:t>湖北省阳新县黄颡口镇全域国土综合整治项目实施方案（2020年-2024年）编制</w:t>
      </w:r>
      <w:bookmarkEnd w:id="53"/>
    </w:p>
    <w:p>
      <w:pPr>
        <w:spacing w:line="360" w:lineRule="auto"/>
        <w:rPr>
          <w:rFonts w:ascii="Times New Roman" w:hAnsi="Times New Roman" w:cs="Times New Roman"/>
          <w:sz w:val="30"/>
          <w:szCs w:val="30"/>
        </w:rPr>
      </w:pPr>
      <w:r>
        <w:rPr>
          <w:rFonts w:ascii="Times New Roman" w:hAnsi="Times New Roman" w:cs="Times New Roman"/>
          <w:sz w:val="30"/>
          <w:szCs w:val="30"/>
        </w:rPr>
        <w:t xml:space="preserve">磋商内容： </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国土综合整治项目实施方案编制</w:t>
      </w:r>
      <w:r>
        <w:rPr>
          <w:rFonts w:hint="eastAsia" w:ascii="Times New Roman" w:hAnsi="Times New Roman" w:cs="Times New Roman"/>
          <w:sz w:val="30"/>
          <w:szCs w:val="30"/>
          <w:u w:val="single"/>
        </w:rPr>
        <w:t xml:space="preserve">  </w:t>
      </w:r>
    </w:p>
    <w:p>
      <w:pPr>
        <w:spacing w:line="360" w:lineRule="auto"/>
        <w:rPr>
          <w:rFonts w:ascii="Times New Roman" w:hAnsi="Times New Roman" w:cs="Times New Roman"/>
          <w:sz w:val="30"/>
          <w:szCs w:val="30"/>
        </w:rPr>
      </w:pPr>
    </w:p>
    <w:p>
      <w:pPr>
        <w:adjustRightInd w:val="0"/>
        <w:snapToGrid w:val="0"/>
        <w:spacing w:line="360" w:lineRule="auto"/>
        <w:jc w:val="center"/>
        <w:rPr>
          <w:rFonts w:hint="default" w:ascii="Times New Roman" w:hAnsi="Times New Roman" w:cs="Times New Roman" w:eastAsiaTheme="minorEastAsia"/>
          <w:bCs/>
          <w:color w:val="000000" w:themeColor="text1"/>
          <w:sz w:val="44"/>
          <w:szCs w:val="44"/>
          <w:lang w:val="en-US" w:eastAsia="zh-CN"/>
        </w:rPr>
      </w:pPr>
      <w:r>
        <w:rPr>
          <w:rFonts w:hint="eastAsia" w:ascii="Times New Roman" w:hAnsi="Times New Roman" w:cs="Times New Roman"/>
          <w:bCs/>
          <w:color w:val="FF0000"/>
          <w:sz w:val="44"/>
          <w:szCs w:val="44"/>
          <w:lang w:val="en-US" w:eastAsia="zh-CN"/>
        </w:rPr>
        <w:t>湖北宏大工程咨询有限公司</w:t>
      </w:r>
    </w:p>
    <w:p>
      <w:pPr>
        <w:spacing w:line="360" w:lineRule="auto"/>
        <w:jc w:val="center"/>
        <w:rPr>
          <w:rFonts w:ascii="Times New Roman" w:hAnsi="Times New Roman"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2020</w:t>
      </w:r>
      <w:r>
        <w:rPr>
          <w:rFonts w:hint="eastAsia" w:ascii="Times New Roman" w:hAnsi="Times New Roman" w:cs="Times New Roman"/>
          <w:sz w:val="32"/>
          <w:szCs w:val="32"/>
          <w:u w:val="single"/>
        </w:rPr>
        <w:t xml:space="preserve">  </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10</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360" w:lineRule="auto"/>
        <w:rPr>
          <w:rFonts w:ascii="Times New Roman" w:hAnsi="Times New Roman" w:eastAsia="黑体" w:cs="Times New Roman"/>
          <w:sz w:val="24"/>
          <w:szCs w:val="24"/>
        </w:rPr>
      </w:pP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第一章  磋商邀请函·········································································00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  磋商须知············································································00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第五章  合同书（格式）···································································00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第六章  响应文件格式······································································00</w:t>
      </w:r>
    </w:p>
    <w:p>
      <w:pPr>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headerReference r:id="rId9" w:type="default"/>
          <w:pgSz w:w="11906" w:h="16838"/>
          <w:pgMar w:top="1440" w:right="1800" w:bottom="1440" w:left="1800" w:header="851" w:footer="992" w:gutter="0"/>
          <w:cols w:space="425" w:num="1"/>
          <w:docGrid w:type="lines" w:linePitch="312" w:charSpace="0"/>
        </w:sectPr>
      </w:pPr>
    </w:p>
    <w:p>
      <w:pPr>
        <w:pStyle w:val="3"/>
        <w:tabs>
          <w:tab w:val="left" w:pos="0"/>
          <w:tab w:val="left" w:pos="3165"/>
          <w:tab w:val="center" w:pos="4153"/>
        </w:tabs>
        <w:autoSpaceDE w:val="0"/>
        <w:autoSpaceDN w:val="0"/>
        <w:adjustRightInd w:val="0"/>
        <w:spacing w:before="0" w:after="0" w:line="360" w:lineRule="auto"/>
        <w:jc w:val="center"/>
        <w:rPr>
          <w:rFonts w:hint="default" w:ascii="Times New Roman" w:hAnsi="Times New Roman" w:cs="Times New Roman" w:eastAsiaTheme="minorEastAsia"/>
          <w:b/>
          <w:bCs w:val="0"/>
          <w:kern w:val="2"/>
          <w:sz w:val="36"/>
          <w:szCs w:val="36"/>
          <w:lang w:val="en-US" w:eastAsia="zh-CN" w:bidi="ar-EG"/>
        </w:rPr>
      </w:pPr>
      <w:r>
        <w:rPr>
          <w:rFonts w:hint="eastAsia" w:ascii="Times New Roman" w:hAnsi="Times New Roman" w:cs="Times New Roman" w:eastAsiaTheme="minorEastAsia"/>
          <w:b/>
          <w:bCs w:val="0"/>
          <w:kern w:val="2"/>
          <w:sz w:val="36"/>
          <w:szCs w:val="36"/>
          <w:lang w:val="en-US" w:eastAsia="zh-CN" w:bidi="ar-EG"/>
        </w:rPr>
        <w:t>第一章 邀请函</w:t>
      </w:r>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lang w:val="en-US" w:eastAsia="zh-CN"/>
        </w:rPr>
        <w:t>湖北省阳新县黄颡口镇全域国土综合整治项目实施方案（2020年-2024年）编制项目被邀请的供应商应在湖北宏大工程咨询有限公司（阳新县姜家湾小区36号）</w:t>
      </w:r>
      <w:r>
        <w:rPr>
          <w:rFonts w:hint="eastAsia" w:ascii="仿宋" w:hAnsi="仿宋" w:eastAsia="仿宋"/>
          <w:sz w:val="28"/>
          <w:szCs w:val="28"/>
        </w:rPr>
        <w:t>获取</w:t>
      </w:r>
      <w:r>
        <w:rPr>
          <w:rFonts w:hint="eastAsia" w:ascii="仿宋" w:hAnsi="仿宋" w:eastAsia="仿宋"/>
          <w:sz w:val="28"/>
          <w:szCs w:val="28"/>
          <w:lang w:val="en-US" w:eastAsia="zh-CN"/>
        </w:rPr>
        <w:t>采购</w:t>
      </w:r>
      <w:r>
        <w:rPr>
          <w:rFonts w:hint="eastAsia" w:ascii="仿宋" w:hAnsi="仿宋" w:eastAsia="仿宋"/>
          <w:sz w:val="28"/>
          <w:szCs w:val="28"/>
        </w:rPr>
        <w:t>文件，并于</w:t>
      </w:r>
      <w:r>
        <w:rPr>
          <w:rFonts w:hint="eastAsia" w:ascii="宋体" w:hAnsi="宋体" w:eastAsia="宋体" w:cs="宋体"/>
          <w:i w:val="0"/>
          <w:caps w:val="0"/>
          <w:color w:val="C00000"/>
          <w:spacing w:val="0"/>
          <w:kern w:val="0"/>
          <w:sz w:val="24"/>
          <w:szCs w:val="24"/>
          <w:u w:val="none"/>
          <w:shd w:val="clear" w:color="auto" w:fill="FFFFFF"/>
          <w:lang w:val="en-US" w:eastAsia="zh-CN" w:bidi="ar"/>
        </w:rPr>
        <w:t>2020年</w:t>
      </w:r>
      <w:r>
        <w:rPr>
          <w:rFonts w:hint="eastAsia" w:ascii="宋体" w:hAnsi="宋体" w:cs="宋体"/>
          <w:i w:val="0"/>
          <w:caps w:val="0"/>
          <w:color w:val="C00000"/>
          <w:spacing w:val="0"/>
          <w:kern w:val="0"/>
          <w:sz w:val="24"/>
          <w:szCs w:val="24"/>
          <w:u w:val="none"/>
          <w:shd w:val="clear" w:color="auto" w:fill="FFFFFF"/>
          <w:lang w:val="en-US" w:eastAsia="zh-CN" w:bidi="ar"/>
        </w:rPr>
        <w:t xml:space="preserve">11 </w:t>
      </w:r>
      <w:r>
        <w:rPr>
          <w:rFonts w:hint="eastAsia" w:ascii="宋体" w:hAnsi="宋体" w:eastAsia="宋体" w:cs="宋体"/>
          <w:i w:val="0"/>
          <w:caps w:val="0"/>
          <w:color w:val="C00000"/>
          <w:spacing w:val="0"/>
          <w:kern w:val="0"/>
          <w:sz w:val="24"/>
          <w:szCs w:val="24"/>
          <w:u w:val="none"/>
          <w:shd w:val="clear" w:color="auto" w:fill="FFFFFF"/>
          <w:lang w:val="en-US" w:eastAsia="zh-CN" w:bidi="ar"/>
        </w:rPr>
        <w:t>月</w:t>
      </w:r>
      <w:r>
        <w:rPr>
          <w:rFonts w:hint="eastAsia" w:ascii="宋体" w:hAnsi="宋体" w:cs="宋体"/>
          <w:i w:val="0"/>
          <w:caps w:val="0"/>
          <w:color w:val="C00000"/>
          <w:spacing w:val="0"/>
          <w:kern w:val="0"/>
          <w:sz w:val="24"/>
          <w:szCs w:val="24"/>
          <w:u w:val="none"/>
          <w:shd w:val="clear" w:color="auto" w:fill="FFFFFF"/>
          <w:lang w:val="en-US" w:eastAsia="zh-CN" w:bidi="ar"/>
        </w:rPr>
        <w:t xml:space="preserve"> 6 </w:t>
      </w:r>
      <w:r>
        <w:rPr>
          <w:rFonts w:hint="eastAsia" w:ascii="宋体" w:hAnsi="宋体" w:eastAsia="宋体" w:cs="宋体"/>
          <w:i w:val="0"/>
          <w:caps w:val="0"/>
          <w:color w:val="C00000"/>
          <w:spacing w:val="0"/>
          <w:kern w:val="0"/>
          <w:sz w:val="24"/>
          <w:szCs w:val="24"/>
          <w:u w:val="none"/>
          <w:shd w:val="clear" w:color="auto" w:fill="FFFFFF"/>
          <w:lang w:val="en-US" w:eastAsia="zh-CN" w:bidi="ar"/>
        </w:rPr>
        <w:t>日</w:t>
      </w:r>
      <w:r>
        <w:rPr>
          <w:rFonts w:hint="eastAsia" w:ascii="宋体" w:hAnsi="宋体" w:cs="宋体"/>
          <w:i w:val="0"/>
          <w:caps w:val="0"/>
          <w:color w:val="C00000"/>
          <w:spacing w:val="0"/>
          <w:kern w:val="0"/>
          <w:sz w:val="24"/>
          <w:szCs w:val="24"/>
          <w:u w:val="none"/>
          <w:shd w:val="clear" w:color="auto" w:fill="FFFFFF"/>
          <w:lang w:val="en-US" w:eastAsia="zh-CN" w:bidi="ar"/>
        </w:rPr>
        <w:t xml:space="preserve">  9</w:t>
      </w:r>
      <w:r>
        <w:rPr>
          <w:rFonts w:hint="eastAsia" w:ascii="宋体" w:hAnsi="宋体" w:eastAsia="宋体" w:cs="宋体"/>
          <w:i w:val="0"/>
          <w:caps w:val="0"/>
          <w:color w:val="C00000"/>
          <w:spacing w:val="0"/>
          <w:kern w:val="0"/>
          <w:sz w:val="24"/>
          <w:szCs w:val="24"/>
          <w:u w:val="none"/>
          <w:shd w:val="clear" w:color="auto" w:fill="FFFFFF"/>
          <w:lang w:val="en-US" w:eastAsia="zh-CN" w:bidi="ar"/>
        </w:rPr>
        <w:t>点00分</w:t>
      </w:r>
      <w:r>
        <w:rPr>
          <w:rFonts w:hint="eastAsia" w:ascii="宋体" w:hAnsi="宋体" w:cs="宋体"/>
          <w:i w:val="0"/>
          <w:caps w:val="0"/>
          <w:color w:val="auto"/>
          <w:spacing w:val="0"/>
          <w:kern w:val="0"/>
          <w:sz w:val="24"/>
          <w:szCs w:val="24"/>
          <w:u w:val="none"/>
          <w:shd w:val="clear" w:color="auto" w:fill="FFFFFF"/>
          <w:lang w:val="en-US" w:eastAsia="zh-CN" w:bidi="ar"/>
        </w:rPr>
        <w:t>(</w:t>
      </w:r>
      <w:r>
        <w:rPr>
          <w:rFonts w:hint="eastAsia" w:ascii="仿宋" w:hAnsi="仿宋" w:eastAsia="仿宋"/>
          <w:bCs/>
          <w:sz w:val="28"/>
          <w:szCs w:val="28"/>
        </w:rPr>
        <w:t>北京时间）前递交</w:t>
      </w:r>
      <w:r>
        <w:rPr>
          <w:rFonts w:hint="eastAsia" w:ascii="仿宋" w:hAnsi="仿宋" w:eastAsia="仿宋"/>
          <w:bCs/>
          <w:sz w:val="28"/>
          <w:szCs w:val="28"/>
          <w:lang w:val="en-US" w:eastAsia="zh-CN"/>
        </w:rPr>
        <w:t>响应</w:t>
      </w:r>
      <w:r>
        <w:rPr>
          <w:rFonts w:ascii="仿宋" w:hAnsi="仿宋" w:eastAsia="仿宋"/>
          <w:bCs/>
          <w:sz w:val="28"/>
          <w:szCs w:val="28"/>
        </w:rPr>
        <w:t>文件</w:t>
      </w:r>
      <w:r>
        <w:rPr>
          <w:rFonts w:hint="eastAsia" w:ascii="仿宋" w:hAnsi="仿宋" w:eastAsia="仿宋"/>
          <w:sz w:val="28"/>
          <w:szCs w:val="28"/>
        </w:rPr>
        <w:t>。</w:t>
      </w:r>
    </w:p>
    <w:p/>
    <w:p>
      <w:pPr>
        <w:pStyle w:val="4"/>
        <w:spacing w:line="360" w:lineRule="auto"/>
        <w:rPr>
          <w:rFonts w:ascii="黑体" w:hAnsi="黑体" w:cs="宋体"/>
          <w:b w:val="0"/>
          <w:sz w:val="28"/>
          <w:szCs w:val="28"/>
        </w:rPr>
      </w:pPr>
      <w:bookmarkStart w:id="0" w:name="_Toc35393798"/>
      <w:bookmarkStart w:id="1" w:name="_Toc28359012"/>
      <w:bookmarkStart w:id="2" w:name="_Toc35393629"/>
      <w:bookmarkStart w:id="3" w:name="_Toc28359089"/>
      <w:r>
        <w:rPr>
          <w:rFonts w:hint="eastAsia" w:ascii="黑体" w:hAnsi="黑体" w:cs="宋体"/>
          <w:b w:val="0"/>
          <w:sz w:val="28"/>
          <w:szCs w:val="28"/>
        </w:rPr>
        <w:t>一、项目基本情况</w:t>
      </w:r>
      <w:bookmarkEnd w:id="0"/>
      <w:bookmarkEnd w:id="1"/>
      <w:bookmarkEnd w:id="2"/>
      <w:bookmarkEnd w:id="3"/>
    </w:p>
    <w:p>
      <w:pPr>
        <w:ind w:firstLine="560" w:firstLineChars="200"/>
        <w:rPr>
          <w:rFonts w:ascii="仿宋" w:hAnsi="仿宋" w:eastAsia="仿宋"/>
          <w:color w:val="FF0000"/>
          <w:sz w:val="28"/>
          <w:szCs w:val="28"/>
        </w:rPr>
      </w:pPr>
      <w:bookmarkStart w:id="4" w:name="_Toc28359090"/>
      <w:bookmarkStart w:id="5" w:name="_Toc35393630"/>
      <w:bookmarkStart w:id="6" w:name="_Toc28359013"/>
      <w:bookmarkStart w:id="7" w:name="_Toc35393799"/>
      <w:r>
        <w:rPr>
          <w:rFonts w:hint="eastAsia" w:ascii="仿宋" w:hAnsi="仿宋" w:eastAsia="仿宋"/>
          <w:sz w:val="28"/>
          <w:szCs w:val="28"/>
        </w:rPr>
        <w:t>项目编号：</w:t>
      </w:r>
      <w:r>
        <w:rPr>
          <w:rFonts w:hint="eastAsia" w:ascii="宋体" w:hAnsi="宋体" w:eastAsia="宋体" w:cs="宋体"/>
          <w:i w:val="0"/>
          <w:caps w:val="0"/>
          <w:color w:val="C00000"/>
          <w:spacing w:val="0"/>
          <w:kern w:val="0"/>
          <w:sz w:val="24"/>
          <w:szCs w:val="24"/>
          <w:u w:val="none"/>
          <w:shd w:val="clear" w:color="auto" w:fill="FFFFFF"/>
          <w:lang w:val="en-US" w:eastAsia="zh-CN" w:bidi="ar"/>
        </w:rPr>
        <w:t>131-2020CG-200</w:t>
      </w:r>
      <w:r>
        <w:rPr>
          <w:rFonts w:hint="eastAsia" w:ascii="宋体" w:hAnsi="宋体" w:cs="宋体"/>
          <w:i w:val="0"/>
          <w:caps w:val="0"/>
          <w:color w:val="C00000"/>
          <w:spacing w:val="0"/>
          <w:kern w:val="0"/>
          <w:sz w:val="24"/>
          <w:szCs w:val="24"/>
          <w:u w:val="none"/>
          <w:shd w:val="clear" w:color="auto" w:fill="FFFFFF"/>
          <w:lang w:val="en-US" w:eastAsia="zh-CN" w:bidi="ar"/>
        </w:rPr>
        <w:t xml:space="preserve"> </w:t>
      </w:r>
      <w:r>
        <w:rPr>
          <w:rFonts w:hint="eastAsia" w:ascii="宋体" w:hAnsi="宋体" w:eastAsia="宋体" w:cs="宋体"/>
          <w:i w:val="0"/>
          <w:caps w:val="0"/>
          <w:color w:val="333333"/>
          <w:spacing w:val="0"/>
          <w:kern w:val="0"/>
          <w:sz w:val="24"/>
          <w:szCs w:val="24"/>
          <w:u w:val="none"/>
          <w:shd w:val="clear" w:color="auto" w:fill="FFFFFF"/>
          <w:lang w:val="en-US" w:eastAsia="zh-CN" w:bidi="ar"/>
        </w:rPr>
        <w:t>（政府采购计划编号：</w:t>
      </w:r>
      <w:r>
        <w:rPr>
          <w:rFonts w:hint="eastAsia" w:ascii="宋体" w:hAnsi="宋体" w:eastAsia="宋体" w:cs="宋体"/>
          <w:i w:val="0"/>
          <w:caps w:val="0"/>
          <w:color w:val="C00000"/>
          <w:spacing w:val="0"/>
          <w:kern w:val="0"/>
          <w:sz w:val="24"/>
          <w:szCs w:val="24"/>
          <w:u w:val="none"/>
          <w:shd w:val="clear" w:color="auto" w:fill="FFFFFF"/>
          <w:lang w:val="en-US" w:eastAsia="zh-CN" w:bidi="ar"/>
        </w:rPr>
        <w:t>阳财采计备[2020]A</w:t>
      </w:r>
      <w:r>
        <w:rPr>
          <w:rFonts w:hint="eastAsia" w:ascii="宋体" w:hAnsi="宋体" w:cs="宋体"/>
          <w:i w:val="0"/>
          <w:caps w:val="0"/>
          <w:color w:val="C00000"/>
          <w:spacing w:val="0"/>
          <w:kern w:val="0"/>
          <w:sz w:val="24"/>
          <w:szCs w:val="24"/>
          <w:u w:val="none"/>
          <w:shd w:val="clear" w:color="auto" w:fill="FFFFFF"/>
          <w:lang w:val="en-US" w:eastAsia="zh-CN" w:bidi="ar"/>
        </w:rPr>
        <w:t>88</w:t>
      </w:r>
      <w:r>
        <w:rPr>
          <w:rFonts w:hint="eastAsia" w:ascii="宋体" w:hAnsi="宋体" w:eastAsia="宋体" w:cs="宋体"/>
          <w:i w:val="0"/>
          <w:caps w:val="0"/>
          <w:color w:val="C00000"/>
          <w:spacing w:val="0"/>
          <w:kern w:val="0"/>
          <w:sz w:val="24"/>
          <w:szCs w:val="24"/>
          <w:u w:val="none"/>
          <w:shd w:val="clear" w:color="auto" w:fill="FFFFFF"/>
          <w:lang w:val="en-US" w:eastAsia="zh-CN" w:bidi="ar"/>
        </w:rPr>
        <w:t>号</w:t>
      </w:r>
      <w:r>
        <w:rPr>
          <w:rFonts w:hint="eastAsia" w:ascii="宋体" w:hAnsi="宋体" w:eastAsia="宋体" w:cs="宋体"/>
          <w:i w:val="0"/>
          <w:caps w:val="0"/>
          <w:color w:val="333333"/>
          <w:spacing w:val="0"/>
          <w:kern w:val="0"/>
          <w:sz w:val="24"/>
          <w:szCs w:val="24"/>
          <w:u w:val="none"/>
          <w:shd w:val="clear" w:color="auto" w:fill="FFFFFF"/>
          <w:lang w:val="en-US" w:eastAsia="zh-CN" w:bidi="ar"/>
        </w:rPr>
        <w:t>）</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val="en-US" w:eastAsia="zh-CN"/>
        </w:rPr>
        <w:t>湖北省阳新县黄颡口镇全域国土综合整治项目实施方案（2020年-2024年）编制项目</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宋体" w:hAnsi="宋体" w:eastAsia="宋体" w:cs="宋体"/>
          <w:i w:val="0"/>
          <w:caps w:val="0"/>
          <w:color w:val="C00000"/>
          <w:spacing w:val="0"/>
          <w:kern w:val="0"/>
          <w:sz w:val="24"/>
          <w:szCs w:val="24"/>
          <w:u w:val="none"/>
          <w:shd w:val="clear" w:color="auto" w:fill="FFFFFF"/>
          <w:lang w:val="en-US" w:eastAsia="zh-CN" w:bidi="ar"/>
        </w:rPr>
        <w:t>：</w:t>
      </w:r>
      <w:r>
        <w:rPr>
          <w:rFonts w:hint="eastAsia" w:ascii="宋体" w:hAnsi="宋体" w:cs="宋体"/>
          <w:i w:val="0"/>
          <w:caps w:val="0"/>
          <w:color w:val="C00000"/>
          <w:spacing w:val="0"/>
          <w:kern w:val="0"/>
          <w:sz w:val="24"/>
          <w:szCs w:val="24"/>
          <w:u w:val="none"/>
          <w:shd w:val="clear" w:color="auto" w:fill="FFFFFF"/>
          <w:lang w:val="en-US" w:eastAsia="zh-CN" w:bidi="ar"/>
        </w:rPr>
        <w:t>130</w:t>
      </w:r>
      <w:r>
        <w:rPr>
          <w:rFonts w:hint="eastAsia" w:ascii="宋体" w:hAnsi="宋体" w:eastAsia="宋体" w:cs="宋体"/>
          <w:i w:val="0"/>
          <w:caps w:val="0"/>
          <w:color w:val="C00000"/>
          <w:spacing w:val="0"/>
          <w:kern w:val="0"/>
          <w:sz w:val="24"/>
          <w:szCs w:val="24"/>
          <w:u w:val="none"/>
          <w:shd w:val="clear" w:color="auto" w:fill="FFFFFF"/>
          <w:lang w:val="en-US" w:eastAsia="zh-CN" w:bidi="ar"/>
        </w:rPr>
        <w:t>万元</w:t>
      </w:r>
    </w:p>
    <w:p>
      <w:pPr>
        <w:ind w:firstLine="560" w:firstLineChars="200"/>
        <w:rPr>
          <w:rFonts w:hint="default" w:ascii="仿宋" w:hAnsi="仿宋" w:eastAsia="仿宋"/>
          <w:sz w:val="28"/>
          <w:szCs w:val="28"/>
          <w:u w:val="single"/>
          <w:lang w:val="en-US"/>
        </w:rPr>
      </w:pPr>
      <w:r>
        <w:rPr>
          <w:rFonts w:hint="eastAsia" w:ascii="仿宋" w:hAnsi="仿宋" w:eastAsia="仿宋"/>
          <w:sz w:val="28"/>
          <w:szCs w:val="28"/>
        </w:rPr>
        <w:t>采购需求：</w:t>
      </w:r>
      <w:r>
        <w:rPr>
          <w:rFonts w:hint="eastAsia" w:ascii="仿宋" w:hAnsi="仿宋" w:eastAsia="仿宋"/>
          <w:sz w:val="28"/>
          <w:szCs w:val="28"/>
          <w:lang w:val="en-US" w:eastAsia="zh-CN"/>
        </w:rPr>
        <w:t>详见采购文件第三章采购需求。</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本项目（是/否）接受联合体投标:否</w:t>
      </w:r>
    </w:p>
    <w:p>
      <w:pPr>
        <w:pStyle w:val="4"/>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4"/>
      <w:bookmarkEnd w:id="5"/>
      <w:bookmarkEnd w:id="6"/>
      <w:bookmarkEnd w:id="7"/>
    </w:p>
    <w:p>
      <w:pPr>
        <w:pStyle w:val="40"/>
        <w:numPr>
          <w:ilvl w:val="1"/>
          <w:numId w:val="0"/>
        </w:numPr>
        <w:spacing w:after="24"/>
        <w:ind w:left="420" w:leftChars="0"/>
        <w:rPr>
          <w:rFonts w:hint="eastAsia" w:ascii="仿宋" w:hAnsi="仿宋" w:eastAsia="仿宋" w:cs="Times New Roman"/>
          <w:b w:val="0"/>
          <w:kern w:val="2"/>
          <w:sz w:val="28"/>
          <w:szCs w:val="28"/>
          <w:lang w:val="en-US" w:eastAsia="zh-CN" w:bidi="ar-SA"/>
        </w:rPr>
      </w:pPr>
      <w:bookmarkStart w:id="8" w:name="_Toc28359014"/>
      <w:bookmarkStart w:id="9" w:name="_Toc28359091"/>
      <w:r>
        <w:rPr>
          <w:rFonts w:hint="eastAsia" w:ascii="仿宋" w:hAnsi="仿宋" w:eastAsia="仿宋" w:cs="Times New Roman"/>
          <w:b w:val="0"/>
          <w:kern w:val="2"/>
          <w:sz w:val="28"/>
          <w:szCs w:val="28"/>
          <w:lang w:val="en-US" w:eastAsia="zh-CN" w:bidi="ar-SA"/>
        </w:rPr>
        <w:t>（一）供应商必须符合《中华人民共和国政府采购法》第二十二条规定的条件；</w:t>
      </w:r>
    </w:p>
    <w:p>
      <w:pPr>
        <w:pStyle w:val="40"/>
        <w:numPr>
          <w:ilvl w:val="1"/>
          <w:numId w:val="0"/>
        </w:numPr>
        <w:spacing w:after="24"/>
        <w:ind w:left="420" w:leftChars="0"/>
        <w:rPr>
          <w:rFonts w:hint="eastAsia"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（二）未被列入“信用中国”网站（www.creditchina.gov.cn）失信被执行人、重大税收违法案件当事人失信行为记录名单；</w:t>
      </w:r>
    </w:p>
    <w:p>
      <w:pPr>
        <w:pStyle w:val="40"/>
        <w:numPr>
          <w:ilvl w:val="1"/>
          <w:numId w:val="0"/>
        </w:numPr>
        <w:spacing w:after="24"/>
        <w:ind w:left="420" w:leftChars="0"/>
        <w:rPr>
          <w:rFonts w:hint="eastAsia"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（三）特定条件：</w:t>
      </w:r>
    </w:p>
    <w:p>
      <w:pPr>
        <w:pStyle w:val="40"/>
        <w:numPr>
          <w:ilvl w:val="1"/>
          <w:numId w:val="0"/>
        </w:numPr>
        <w:spacing w:after="24"/>
        <w:ind w:left="420" w:leftChars="0"/>
        <w:rPr>
          <w:rFonts w:hint="eastAsia"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1.供应商需具备土地规划乙级及以上资质，如因国家主管部门原因不在有效期，提供相关部门证明材料复印件。</w:t>
      </w:r>
    </w:p>
    <w:p>
      <w:pPr>
        <w:pStyle w:val="40"/>
        <w:numPr>
          <w:ilvl w:val="1"/>
          <w:numId w:val="0"/>
        </w:numPr>
        <w:spacing w:after="24"/>
        <w:ind w:left="420" w:leftChars="0"/>
        <w:rPr>
          <w:rFonts w:hint="eastAsia"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2.供应商自2018年1月1日起具有一项类似项目业绩（提供合同复印件并加盖公章，时间以合同签定时间为准）；</w:t>
      </w:r>
    </w:p>
    <w:p>
      <w:pPr>
        <w:pStyle w:val="40"/>
        <w:numPr>
          <w:ilvl w:val="1"/>
          <w:numId w:val="0"/>
        </w:numPr>
        <w:spacing w:after="24"/>
        <w:ind w:left="420" w:leftChars="0"/>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3.本次招标不接受联合体。</w:t>
      </w:r>
    </w:p>
    <w:p>
      <w:pPr>
        <w:pStyle w:val="4"/>
        <w:spacing w:line="360" w:lineRule="auto"/>
        <w:rPr>
          <w:rFonts w:ascii="黑体" w:hAnsi="黑体" w:cs="宋体"/>
          <w:b w:val="0"/>
          <w:sz w:val="28"/>
          <w:szCs w:val="28"/>
        </w:rPr>
      </w:pPr>
      <w:bookmarkStart w:id="10" w:name="_Toc35393631"/>
      <w:bookmarkStart w:id="11" w:name="_Toc35393800"/>
      <w:r>
        <w:rPr>
          <w:rFonts w:hint="eastAsia" w:ascii="黑体" w:hAnsi="黑体" w:cs="宋体"/>
          <w:b w:val="0"/>
          <w:sz w:val="28"/>
          <w:szCs w:val="28"/>
        </w:rPr>
        <w:t>三、获取采购文件</w:t>
      </w:r>
      <w:bookmarkEnd w:id="8"/>
      <w:bookmarkEnd w:id="9"/>
      <w:bookmarkEnd w:id="10"/>
      <w:bookmarkEnd w:id="11"/>
    </w:p>
    <w:p>
      <w:pPr>
        <w:spacing w:line="360" w:lineRule="auto"/>
        <w:ind w:firstLine="540"/>
        <w:rPr>
          <w:rFonts w:hint="eastAsia" w:ascii="仿宋" w:hAnsi="仿宋" w:eastAsia="仿宋" w:cs="宋体"/>
          <w:color w:val="C00000"/>
          <w:sz w:val="28"/>
          <w:szCs w:val="28"/>
          <w:u w:val="single"/>
          <w:lang w:val="en-US" w:eastAsia="zh-CN"/>
        </w:rPr>
      </w:pPr>
      <w:bookmarkStart w:id="12" w:name="_Toc35393801"/>
      <w:bookmarkStart w:id="13" w:name="_Toc35393632"/>
      <w:bookmarkStart w:id="14" w:name="_Toc28359092"/>
      <w:bookmarkStart w:id="15" w:name="_Toc28359015"/>
      <w:r>
        <w:rPr>
          <w:rFonts w:hint="eastAsia" w:ascii="仿宋" w:hAnsi="仿宋" w:eastAsia="仿宋" w:cs="宋体"/>
          <w:sz w:val="28"/>
          <w:szCs w:val="28"/>
        </w:rPr>
        <w:t>时间：</w:t>
      </w:r>
      <w:r>
        <w:rPr>
          <w:rFonts w:hint="eastAsia" w:ascii="仿宋" w:hAnsi="仿宋" w:eastAsia="仿宋" w:cs="宋体"/>
          <w:color w:val="C00000"/>
          <w:sz w:val="28"/>
          <w:szCs w:val="28"/>
          <w:u w:val="single"/>
          <w:lang w:val="en-US" w:eastAsia="zh-CN"/>
        </w:rPr>
        <w:t>2020</w:t>
      </w:r>
      <w:r>
        <w:rPr>
          <w:rFonts w:hint="eastAsia" w:ascii="仿宋" w:hAnsi="仿宋" w:eastAsia="仿宋" w:cs="宋体"/>
          <w:color w:val="C00000"/>
          <w:sz w:val="28"/>
          <w:szCs w:val="28"/>
          <w:u w:val="single"/>
        </w:rPr>
        <w:t>年</w:t>
      </w:r>
      <w:r>
        <w:rPr>
          <w:rFonts w:hint="eastAsia" w:ascii="仿宋" w:hAnsi="仿宋" w:eastAsia="仿宋" w:cs="宋体"/>
          <w:color w:val="C00000"/>
          <w:sz w:val="28"/>
          <w:szCs w:val="28"/>
          <w:u w:val="single"/>
          <w:lang w:val="en-US" w:eastAsia="zh-CN"/>
        </w:rPr>
        <w:t>10</w:t>
      </w:r>
      <w:r>
        <w:rPr>
          <w:rFonts w:hint="eastAsia" w:ascii="仿宋" w:hAnsi="仿宋" w:eastAsia="仿宋" w:cs="宋体"/>
          <w:color w:val="C00000"/>
          <w:sz w:val="28"/>
          <w:szCs w:val="28"/>
          <w:u w:val="single"/>
        </w:rPr>
        <w:t>月</w:t>
      </w:r>
      <w:r>
        <w:rPr>
          <w:rFonts w:hint="eastAsia" w:ascii="仿宋" w:hAnsi="仿宋" w:eastAsia="仿宋" w:cs="宋体"/>
          <w:color w:val="C00000"/>
          <w:sz w:val="28"/>
          <w:szCs w:val="28"/>
          <w:u w:val="single"/>
          <w:lang w:val="en-US" w:eastAsia="zh-CN"/>
        </w:rPr>
        <w:t xml:space="preserve"> 15</w:t>
      </w:r>
      <w:r>
        <w:rPr>
          <w:rFonts w:hint="eastAsia" w:ascii="仿宋" w:hAnsi="仿宋" w:eastAsia="仿宋" w:cs="宋体"/>
          <w:color w:val="C00000"/>
          <w:sz w:val="28"/>
          <w:szCs w:val="28"/>
          <w:u w:val="single"/>
        </w:rPr>
        <w:t>日</w:t>
      </w:r>
      <w:r>
        <w:rPr>
          <w:rFonts w:hint="eastAsia" w:ascii="仿宋" w:hAnsi="仿宋" w:eastAsia="仿宋" w:cs="宋体"/>
          <w:color w:val="C00000"/>
          <w:sz w:val="28"/>
          <w:szCs w:val="28"/>
        </w:rPr>
        <w:t>至</w:t>
      </w:r>
      <w:r>
        <w:rPr>
          <w:rFonts w:hint="eastAsia" w:ascii="仿宋" w:hAnsi="仿宋" w:eastAsia="仿宋" w:cs="宋体"/>
          <w:color w:val="C00000"/>
          <w:sz w:val="28"/>
          <w:szCs w:val="28"/>
          <w:u w:val="single"/>
          <w:lang w:val="en-US" w:eastAsia="zh-CN"/>
        </w:rPr>
        <w:t>2020</w:t>
      </w:r>
      <w:r>
        <w:rPr>
          <w:rFonts w:hint="eastAsia" w:ascii="仿宋" w:hAnsi="仿宋" w:eastAsia="仿宋" w:cs="宋体"/>
          <w:color w:val="C00000"/>
          <w:sz w:val="28"/>
          <w:szCs w:val="28"/>
          <w:u w:val="single"/>
        </w:rPr>
        <w:t>年</w:t>
      </w:r>
      <w:r>
        <w:rPr>
          <w:rFonts w:hint="eastAsia" w:ascii="仿宋" w:hAnsi="仿宋" w:eastAsia="仿宋" w:cs="宋体"/>
          <w:color w:val="C00000"/>
          <w:sz w:val="28"/>
          <w:szCs w:val="28"/>
          <w:u w:val="single"/>
          <w:lang w:val="en-US" w:eastAsia="zh-CN"/>
        </w:rPr>
        <w:t>10</w:t>
      </w:r>
      <w:r>
        <w:rPr>
          <w:rFonts w:hint="eastAsia" w:ascii="仿宋" w:hAnsi="仿宋" w:eastAsia="仿宋" w:cs="宋体"/>
          <w:color w:val="C00000"/>
          <w:sz w:val="28"/>
          <w:szCs w:val="28"/>
          <w:u w:val="single"/>
        </w:rPr>
        <w:t>月</w:t>
      </w:r>
      <w:r>
        <w:rPr>
          <w:rFonts w:hint="eastAsia" w:ascii="仿宋" w:hAnsi="仿宋" w:eastAsia="仿宋" w:cs="宋体"/>
          <w:color w:val="C00000"/>
          <w:sz w:val="28"/>
          <w:szCs w:val="28"/>
          <w:u w:val="single"/>
          <w:lang w:val="en-US" w:eastAsia="zh-CN"/>
        </w:rPr>
        <w:t>22</w:t>
      </w:r>
      <w:r>
        <w:rPr>
          <w:rFonts w:hint="eastAsia" w:ascii="仿宋" w:hAnsi="仿宋" w:eastAsia="仿宋" w:cs="宋体"/>
          <w:color w:val="C00000"/>
          <w:sz w:val="28"/>
          <w:szCs w:val="28"/>
          <w:u w:val="single"/>
        </w:rPr>
        <w:t>日</w:t>
      </w:r>
      <w:r>
        <w:rPr>
          <w:rFonts w:hint="eastAsia" w:ascii="仿宋" w:hAnsi="仿宋" w:eastAsia="仿宋" w:cs="宋体"/>
          <w:color w:val="C00000"/>
          <w:sz w:val="28"/>
          <w:szCs w:val="28"/>
          <w:u w:val="single"/>
          <w:lang w:val="en-US" w:eastAsia="zh-CN"/>
        </w:rPr>
        <w:t>17:30(北京时间)</w:t>
      </w:r>
    </w:p>
    <w:p>
      <w:pPr>
        <w:spacing w:line="360" w:lineRule="auto"/>
        <w:ind w:firstLine="540"/>
        <w:rPr>
          <w:rFonts w:hint="default" w:ascii="仿宋" w:hAnsi="仿宋" w:eastAsia="仿宋" w:cs="宋体"/>
          <w:color w:val="C00000"/>
          <w:sz w:val="28"/>
          <w:szCs w:val="28"/>
          <w:u w:val="single"/>
          <w:lang w:val="en-US" w:eastAsia="zh-CN"/>
        </w:rPr>
      </w:pPr>
      <w:r>
        <w:rPr>
          <w:rFonts w:hint="eastAsia" w:ascii="仿宋" w:hAnsi="仿宋" w:eastAsia="仿宋" w:cs="宋体"/>
          <w:color w:val="C00000"/>
          <w:sz w:val="28"/>
          <w:szCs w:val="28"/>
          <w:u w:val="single"/>
          <w:lang w:val="en-US" w:eastAsia="zh-CN"/>
        </w:rPr>
        <w:t>招标文件：前往采购代理公司领取纸质采购文件。本采购文件300元/套</w:t>
      </w:r>
      <w:r>
        <w:rPr>
          <w:rFonts w:hint="eastAsia"/>
          <w:color w:val="FF0000"/>
          <w:sz w:val="24"/>
        </w:rPr>
        <w:t>。</w:t>
      </w:r>
    </w:p>
    <w:p>
      <w:pPr>
        <w:pStyle w:val="4"/>
        <w:spacing w:line="360" w:lineRule="auto"/>
        <w:rPr>
          <w:rFonts w:ascii="黑体" w:hAnsi="黑体" w:cs="宋体"/>
          <w:b w:val="0"/>
          <w:sz w:val="28"/>
          <w:szCs w:val="28"/>
        </w:rPr>
      </w:pPr>
      <w:r>
        <w:rPr>
          <w:rFonts w:hint="eastAsia" w:ascii="黑体" w:hAnsi="黑体" w:cs="宋体"/>
          <w:b w:val="0"/>
          <w:sz w:val="28"/>
          <w:szCs w:val="28"/>
        </w:rPr>
        <w:t>四、响应文件提交</w:t>
      </w:r>
      <w:bookmarkEnd w:id="12"/>
      <w:bookmarkEnd w:id="13"/>
      <w:bookmarkEnd w:id="14"/>
      <w:bookmarkEnd w:id="15"/>
    </w:p>
    <w:p>
      <w:pPr>
        <w:ind w:firstLine="560" w:firstLineChars="200"/>
        <w:rPr>
          <w:rFonts w:hint="eastAsia" w:ascii="仿宋" w:hAnsi="仿宋" w:eastAsia="仿宋"/>
          <w:sz w:val="28"/>
          <w:szCs w:val="28"/>
          <w:u w:val="single"/>
        </w:rPr>
      </w:pPr>
      <w:r>
        <w:rPr>
          <w:rFonts w:hint="eastAsia" w:ascii="仿宋" w:hAnsi="仿宋" w:eastAsia="仿宋"/>
          <w:sz w:val="28"/>
          <w:szCs w:val="28"/>
        </w:rPr>
        <w:t>截止时间：</w:t>
      </w:r>
      <w:r>
        <w:rPr>
          <w:rFonts w:hint="eastAsia" w:ascii="仿宋" w:hAnsi="仿宋" w:eastAsia="仿宋" w:cs="宋体"/>
          <w:color w:val="C00000"/>
          <w:sz w:val="28"/>
          <w:szCs w:val="28"/>
          <w:u w:val="single"/>
          <w:lang w:val="en-US" w:eastAsia="zh-CN"/>
        </w:rPr>
        <w:t>2020</w:t>
      </w:r>
      <w:r>
        <w:rPr>
          <w:rFonts w:hint="eastAsia" w:ascii="仿宋" w:hAnsi="仿宋" w:eastAsia="仿宋" w:cs="宋体"/>
          <w:color w:val="C00000"/>
          <w:sz w:val="28"/>
          <w:szCs w:val="28"/>
          <w:u w:val="single"/>
        </w:rPr>
        <w:t>年</w:t>
      </w:r>
      <w:r>
        <w:rPr>
          <w:rFonts w:hint="eastAsia" w:ascii="仿宋" w:hAnsi="仿宋" w:eastAsia="仿宋" w:cs="宋体"/>
          <w:color w:val="C00000"/>
          <w:sz w:val="28"/>
          <w:szCs w:val="28"/>
          <w:u w:val="single"/>
          <w:lang w:val="en-US" w:eastAsia="zh-CN"/>
        </w:rPr>
        <w:t>11</w:t>
      </w:r>
      <w:r>
        <w:rPr>
          <w:rFonts w:hint="eastAsia" w:ascii="仿宋" w:hAnsi="仿宋" w:eastAsia="仿宋" w:cs="宋体"/>
          <w:color w:val="C00000"/>
          <w:sz w:val="28"/>
          <w:szCs w:val="28"/>
          <w:u w:val="single"/>
        </w:rPr>
        <w:t>月</w:t>
      </w:r>
      <w:r>
        <w:rPr>
          <w:rFonts w:hint="eastAsia" w:ascii="仿宋" w:hAnsi="仿宋" w:eastAsia="仿宋" w:cs="宋体"/>
          <w:color w:val="C00000"/>
          <w:sz w:val="28"/>
          <w:szCs w:val="28"/>
          <w:u w:val="single"/>
          <w:lang w:val="en-US" w:eastAsia="zh-CN"/>
        </w:rPr>
        <w:t xml:space="preserve"> 6 </w:t>
      </w:r>
      <w:r>
        <w:rPr>
          <w:rFonts w:hint="eastAsia" w:ascii="仿宋" w:hAnsi="仿宋" w:eastAsia="仿宋" w:cs="宋体"/>
          <w:color w:val="C00000"/>
          <w:sz w:val="28"/>
          <w:szCs w:val="28"/>
          <w:u w:val="single"/>
        </w:rPr>
        <w:t>日</w:t>
      </w:r>
      <w:r>
        <w:rPr>
          <w:rFonts w:hint="eastAsia" w:ascii="仿宋" w:hAnsi="仿宋" w:eastAsia="仿宋" w:cs="宋体"/>
          <w:color w:val="C00000"/>
          <w:sz w:val="28"/>
          <w:szCs w:val="28"/>
          <w:u w:val="single"/>
          <w:lang w:val="en-US" w:eastAsia="zh-CN"/>
        </w:rPr>
        <w:t xml:space="preserve"> 9 点 00 分</w:t>
      </w:r>
      <w:r>
        <w:rPr>
          <w:rFonts w:hint="eastAsia" w:ascii="仿宋" w:hAnsi="仿宋" w:eastAsia="仿宋"/>
          <w:bCs/>
          <w:sz w:val="28"/>
          <w:szCs w:val="28"/>
        </w:rPr>
        <w:t>（北京时间）</w:t>
      </w:r>
    </w:p>
    <w:p>
      <w:pPr>
        <w:spacing w:line="360" w:lineRule="auto"/>
        <w:ind w:firstLine="540"/>
        <w:rPr>
          <w:rFonts w:hint="eastAsia" w:ascii="仿宋" w:hAnsi="仿宋" w:eastAsia="仿宋" w:cs="宋体"/>
          <w:color w:val="C00000"/>
          <w:sz w:val="28"/>
          <w:szCs w:val="28"/>
          <w:u w:val="none"/>
          <w:lang w:val="en-US" w:eastAsia="zh-CN"/>
        </w:rPr>
      </w:pPr>
      <w:bookmarkStart w:id="16" w:name="_Toc28359016"/>
      <w:bookmarkStart w:id="17" w:name="_Toc35393802"/>
      <w:bookmarkStart w:id="18" w:name="_Toc35393633"/>
      <w:bookmarkStart w:id="19" w:name="_Toc28359093"/>
      <w:r>
        <w:rPr>
          <w:rFonts w:hint="eastAsia" w:ascii="仿宋" w:hAnsi="仿宋" w:eastAsia="仿宋" w:cs="宋体"/>
          <w:color w:val="C00000"/>
          <w:sz w:val="28"/>
          <w:szCs w:val="28"/>
          <w:u w:val="none"/>
          <w:lang w:val="en-US" w:eastAsia="zh-CN"/>
        </w:rPr>
        <w:t>地点：阳新县公共资源交易中心</w:t>
      </w:r>
      <w:r>
        <w:rPr>
          <w:rFonts w:hint="eastAsia" w:ascii="仿宋" w:hAnsi="仿宋" w:eastAsia="仿宋" w:cs="宋体"/>
          <w:color w:val="C00000"/>
          <w:sz w:val="28"/>
          <w:szCs w:val="28"/>
          <w:u w:val="single"/>
          <w:lang w:val="en-US" w:eastAsia="zh-CN"/>
        </w:rPr>
        <w:t xml:space="preserve">  2 楼</w:t>
      </w:r>
      <w:r>
        <w:rPr>
          <w:rFonts w:hint="eastAsia" w:ascii="仿宋" w:hAnsi="仿宋" w:eastAsia="仿宋" w:cs="宋体"/>
          <w:color w:val="C00000"/>
          <w:sz w:val="28"/>
          <w:szCs w:val="28"/>
          <w:u w:val="none"/>
          <w:lang w:val="en-US" w:eastAsia="zh-CN"/>
        </w:rPr>
        <w:t>开标大厅（阳新县熊家垴安置小区东侧）</w:t>
      </w:r>
    </w:p>
    <w:p>
      <w:pPr>
        <w:pStyle w:val="4"/>
        <w:spacing w:line="360" w:lineRule="auto"/>
        <w:rPr>
          <w:rFonts w:ascii="黑体" w:hAnsi="黑体" w:cs="宋体"/>
          <w:b w:val="0"/>
          <w:sz w:val="28"/>
          <w:szCs w:val="28"/>
        </w:rPr>
      </w:pPr>
      <w:r>
        <w:rPr>
          <w:rFonts w:hint="eastAsia" w:ascii="黑体" w:hAnsi="黑体" w:cs="宋体"/>
          <w:b w:val="0"/>
          <w:sz w:val="28"/>
          <w:szCs w:val="28"/>
        </w:rPr>
        <w:t>五、开启</w:t>
      </w:r>
      <w:bookmarkEnd w:id="16"/>
      <w:bookmarkEnd w:id="17"/>
      <w:bookmarkEnd w:id="18"/>
      <w:bookmarkEnd w:id="19"/>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 xml:space="preserve">点 </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color w:val="C00000"/>
          <w:sz w:val="28"/>
          <w:szCs w:val="28"/>
          <w:u w:val="none"/>
          <w:lang w:val="en-US" w:eastAsia="zh-CN"/>
        </w:rPr>
        <w:t>阳新县公共资源交易中心</w:t>
      </w:r>
      <w:r>
        <w:rPr>
          <w:rFonts w:hint="eastAsia" w:ascii="仿宋" w:hAnsi="仿宋" w:eastAsia="仿宋" w:cs="宋体"/>
          <w:color w:val="C00000"/>
          <w:sz w:val="28"/>
          <w:szCs w:val="28"/>
          <w:u w:val="single"/>
          <w:lang w:val="en-US" w:eastAsia="zh-CN"/>
        </w:rPr>
        <w:t xml:space="preserve"> 2  楼</w:t>
      </w:r>
      <w:r>
        <w:rPr>
          <w:rFonts w:hint="eastAsia" w:ascii="仿宋" w:hAnsi="仿宋" w:eastAsia="仿宋" w:cs="宋体"/>
          <w:color w:val="C00000"/>
          <w:sz w:val="28"/>
          <w:szCs w:val="28"/>
          <w:u w:val="none"/>
          <w:lang w:val="en-US" w:eastAsia="zh-CN"/>
        </w:rPr>
        <w:t>开标大厅（阳新县熊家垴安置小区东侧）</w:t>
      </w:r>
    </w:p>
    <w:p>
      <w:pPr>
        <w:pStyle w:val="4"/>
        <w:spacing w:line="360" w:lineRule="auto"/>
        <w:rPr>
          <w:rFonts w:ascii="黑体" w:hAnsi="黑体" w:cs="宋体"/>
          <w:b w:val="0"/>
          <w:sz w:val="28"/>
          <w:szCs w:val="28"/>
        </w:rPr>
      </w:pPr>
      <w:bookmarkStart w:id="20" w:name="_Toc35393803"/>
      <w:bookmarkStart w:id="21" w:name="_Toc28359094"/>
      <w:bookmarkStart w:id="22" w:name="_Toc35393634"/>
      <w:bookmarkStart w:id="23" w:name="_Toc28359017"/>
      <w:r>
        <w:rPr>
          <w:rFonts w:hint="eastAsia" w:ascii="黑体" w:hAnsi="黑体" w:cs="宋体"/>
          <w:b w:val="0"/>
          <w:sz w:val="28"/>
          <w:szCs w:val="28"/>
        </w:rPr>
        <w:t>六、公告期限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pPr>
        <w:pStyle w:val="4"/>
        <w:numPr>
          <w:ilvl w:val="0"/>
          <w:numId w:val="6"/>
        </w:numPr>
        <w:spacing w:line="360" w:lineRule="auto"/>
        <w:rPr>
          <w:rFonts w:hint="eastAsia" w:ascii="黑体" w:hAnsi="黑体" w:cs="宋体"/>
          <w:b w:val="0"/>
          <w:sz w:val="28"/>
          <w:szCs w:val="28"/>
        </w:rPr>
      </w:pPr>
      <w:bookmarkStart w:id="24" w:name="_Toc35393635"/>
      <w:bookmarkStart w:id="25" w:name="_Toc35393804"/>
      <w:r>
        <w:rPr>
          <w:rFonts w:hint="eastAsia" w:ascii="黑体" w:hAnsi="黑体" w:cs="宋体"/>
          <w:b w:val="0"/>
          <w:sz w:val="28"/>
          <w:szCs w:val="28"/>
        </w:rPr>
        <w:t>其他补充事宜</w:t>
      </w:r>
      <w:bookmarkEnd w:id="24"/>
      <w:bookmarkEnd w:id="25"/>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1.政府采购相关政策执行：落实政府采购强制、优先采购节能产品政策；政府采购优先采购环保产品政策；政府采购促进中小企业发展（监狱企业、残疾人福利性单位视同小微企业）等政策。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2.是否专门面向中小企业、监狱企业、残疾人福利性单位：否。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numPr>
          <w:ilvl w:val="0"/>
          <w:numId w:val="0"/>
        </w:numPr>
        <w:ind w:firstLine="280" w:firstLineChars="10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4.本公告发布的信息媒体“湖北省政府采购网”、“黄石公共资源交易信息网”及“阳新县人民政府网”。</w:t>
      </w:r>
    </w:p>
    <w:p/>
    <w:p>
      <w:pPr>
        <w:pStyle w:val="4"/>
        <w:spacing w:line="360" w:lineRule="auto"/>
        <w:rPr>
          <w:rFonts w:ascii="黑体" w:hAnsi="黑体" w:cs="宋体"/>
          <w:b w:val="0"/>
          <w:sz w:val="28"/>
          <w:szCs w:val="28"/>
        </w:rPr>
      </w:pPr>
      <w:bookmarkStart w:id="26" w:name="_Toc35393805"/>
      <w:bookmarkStart w:id="27" w:name="_Toc28359018"/>
      <w:bookmarkStart w:id="28" w:name="_Toc28359095"/>
      <w:bookmarkStart w:id="29" w:name="_Toc35393636"/>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pPr>
        <w:pStyle w:val="4"/>
        <w:spacing w:line="360" w:lineRule="auto"/>
        <w:ind w:firstLine="280" w:firstLineChars="100"/>
        <w:rPr>
          <w:rFonts w:ascii="仿宋" w:hAnsi="仿宋" w:eastAsia="仿宋" w:cs="宋体"/>
          <w:b w:val="0"/>
          <w:sz w:val="28"/>
          <w:szCs w:val="28"/>
        </w:rPr>
      </w:pPr>
      <w:bookmarkStart w:id="30" w:name="_Toc28359096"/>
      <w:bookmarkStart w:id="31" w:name="_Toc35393806"/>
      <w:bookmarkStart w:id="32" w:name="_Toc35393637"/>
      <w:bookmarkStart w:id="33" w:name="_Toc28359019"/>
      <w:r>
        <w:rPr>
          <w:rFonts w:hint="eastAsia" w:ascii="仿宋" w:hAnsi="仿宋" w:eastAsia="仿宋" w:cs="宋体"/>
          <w:b w:val="0"/>
          <w:sz w:val="28"/>
          <w:szCs w:val="28"/>
        </w:rPr>
        <w:t>1.采购人信息</w:t>
      </w:r>
      <w:bookmarkEnd w:id="30"/>
      <w:bookmarkEnd w:id="31"/>
      <w:bookmarkEnd w:id="32"/>
      <w:bookmarkEnd w:id="33"/>
    </w:p>
    <w:p>
      <w:pPr>
        <w:numPr>
          <w:ilvl w:val="0"/>
          <w:numId w:val="0"/>
        </w:numPr>
        <w:ind w:firstLine="280" w:firstLineChars="100"/>
        <w:rPr>
          <w:rFonts w:hint="eastAsia" w:ascii="仿宋" w:hAnsi="仿宋" w:eastAsia="仿宋" w:cs="宋体"/>
          <w:kern w:val="0"/>
          <w:sz w:val="28"/>
          <w:szCs w:val="28"/>
          <w:lang w:val="en-US" w:eastAsia="zh-CN" w:bidi="ar-SA"/>
        </w:rPr>
      </w:pPr>
      <w:r>
        <w:rPr>
          <w:rFonts w:hint="eastAsia" w:ascii="仿宋" w:hAnsi="仿宋" w:eastAsia="仿宋"/>
          <w:sz w:val="28"/>
          <w:szCs w:val="28"/>
        </w:rPr>
        <w:t>名    称：</w:t>
      </w:r>
      <w:r>
        <w:rPr>
          <w:rFonts w:hint="eastAsia" w:ascii="仿宋" w:hAnsi="仿宋" w:eastAsia="仿宋" w:cs="宋体"/>
          <w:kern w:val="0"/>
          <w:sz w:val="28"/>
          <w:szCs w:val="28"/>
          <w:lang w:val="en-US" w:eastAsia="zh-CN" w:bidi="ar-SA"/>
        </w:rPr>
        <w:t>　</w:t>
      </w:r>
      <w:r>
        <w:rPr>
          <w:rFonts w:hint="eastAsia" w:ascii="仿宋" w:hAnsi="仿宋" w:eastAsia="仿宋" w:cs="宋体"/>
          <w:kern w:val="0"/>
          <w:sz w:val="28"/>
          <w:szCs w:val="28"/>
          <w:u w:val="none"/>
          <w:lang w:val="en-US" w:eastAsia="zh-CN" w:bidi="ar-SA"/>
        </w:rPr>
        <w:t>阳新县土地整理中心</w:t>
      </w:r>
      <w:r>
        <w:rPr>
          <w:rFonts w:hint="eastAsia" w:ascii="仿宋" w:hAnsi="仿宋" w:eastAsia="仿宋" w:cs="宋体"/>
          <w:kern w:val="0"/>
          <w:sz w:val="28"/>
          <w:szCs w:val="28"/>
          <w:lang w:val="en-US" w:eastAsia="zh-CN" w:bidi="ar-SA"/>
        </w:rPr>
        <w:t>　</w:t>
      </w:r>
    </w:p>
    <w:p>
      <w:pPr>
        <w:numPr>
          <w:ilvl w:val="0"/>
          <w:numId w:val="0"/>
        </w:numPr>
        <w:ind w:firstLine="280" w:firstLineChars="10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地    址：　</w:t>
      </w:r>
      <w:r>
        <w:rPr>
          <w:rFonts w:hint="eastAsia" w:ascii="仿宋" w:hAnsi="仿宋" w:eastAsia="仿宋" w:cs="宋体"/>
          <w:kern w:val="0"/>
          <w:sz w:val="28"/>
          <w:szCs w:val="28"/>
          <w:u w:val="none"/>
          <w:lang w:val="en-US" w:eastAsia="zh-CN" w:bidi="ar-SA"/>
        </w:rPr>
        <w:t>董才文</w:t>
      </w:r>
      <w:r>
        <w:rPr>
          <w:rFonts w:hint="eastAsia" w:ascii="仿宋" w:hAnsi="仿宋" w:eastAsia="仿宋" w:cs="宋体"/>
          <w:kern w:val="0"/>
          <w:sz w:val="28"/>
          <w:szCs w:val="28"/>
          <w:lang w:val="en-US" w:eastAsia="zh-CN" w:bidi="ar-SA"/>
        </w:rPr>
        <w:t>　　　　</w:t>
      </w:r>
    </w:p>
    <w:p>
      <w:pPr>
        <w:numPr>
          <w:ilvl w:val="0"/>
          <w:numId w:val="0"/>
        </w:numPr>
        <w:ind w:firstLine="280" w:firstLineChars="100"/>
        <w:rPr>
          <w:rFonts w:ascii="仿宋" w:hAnsi="仿宋" w:eastAsia="仿宋"/>
          <w:sz w:val="28"/>
          <w:szCs w:val="28"/>
        </w:rPr>
      </w:pPr>
      <w:r>
        <w:rPr>
          <w:rFonts w:hint="eastAsia" w:ascii="仿宋" w:hAnsi="仿宋" w:eastAsia="仿宋" w:cs="宋体"/>
          <w:kern w:val="0"/>
          <w:sz w:val="28"/>
          <w:szCs w:val="28"/>
          <w:lang w:val="en-US" w:eastAsia="zh-CN" w:bidi="ar-SA"/>
        </w:rPr>
        <w:t>联系方式：　</w:t>
      </w:r>
      <w:r>
        <w:rPr>
          <w:rFonts w:hint="eastAsia" w:ascii="仿宋" w:hAnsi="仿宋" w:eastAsia="仿宋" w:cs="宋体"/>
          <w:kern w:val="0"/>
          <w:sz w:val="28"/>
          <w:szCs w:val="28"/>
          <w:u w:val="none"/>
          <w:lang w:val="en-US" w:eastAsia="zh-CN" w:bidi="ar-SA"/>
        </w:rPr>
        <w:t>　0714-7322157　</w:t>
      </w:r>
    </w:p>
    <w:p>
      <w:pPr>
        <w:pStyle w:val="4"/>
        <w:spacing w:line="360" w:lineRule="auto"/>
        <w:jc w:val="left"/>
        <w:rPr>
          <w:rFonts w:ascii="仿宋" w:hAnsi="仿宋" w:eastAsia="仿宋" w:cs="宋体"/>
          <w:b w:val="0"/>
          <w:sz w:val="28"/>
          <w:szCs w:val="28"/>
        </w:rPr>
      </w:pPr>
      <w:bookmarkStart w:id="34" w:name="_Toc28359097"/>
      <w:bookmarkStart w:id="35" w:name="_Toc35393807"/>
      <w:bookmarkStart w:id="36" w:name="_Toc35393638"/>
      <w:bookmarkStart w:id="37" w:name="_Toc28359020"/>
      <w:r>
        <w:rPr>
          <w:rFonts w:hint="eastAsia" w:ascii="仿宋" w:hAnsi="仿宋" w:eastAsia="仿宋" w:cs="宋体"/>
          <w:b w:val="0"/>
          <w:sz w:val="28"/>
          <w:szCs w:val="28"/>
        </w:rPr>
        <w:t>2.采购代理机构信息</w:t>
      </w:r>
      <w:bookmarkEnd w:id="34"/>
      <w:bookmarkEnd w:id="35"/>
      <w:bookmarkEnd w:id="36"/>
      <w:bookmarkEnd w:id="37"/>
    </w:p>
    <w:p>
      <w:pPr>
        <w:spacing w:line="360" w:lineRule="auto"/>
        <w:ind w:firstLine="280" w:firstLineChars="1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none"/>
        </w:rPr>
        <w:t>　</w:t>
      </w:r>
      <w:r>
        <w:rPr>
          <w:rFonts w:hint="eastAsia" w:ascii="仿宋" w:hAnsi="仿宋" w:eastAsia="仿宋"/>
          <w:sz w:val="28"/>
          <w:szCs w:val="28"/>
          <w:u w:val="none"/>
          <w:lang w:val="en-US" w:eastAsia="zh-CN"/>
        </w:rPr>
        <w:t>湖北宏大工程咨询有限公司</w:t>
      </w:r>
      <w:r>
        <w:rPr>
          <w:rFonts w:hint="eastAsia" w:ascii="仿宋" w:hAnsi="仿宋" w:eastAsia="仿宋"/>
          <w:sz w:val="28"/>
          <w:szCs w:val="28"/>
          <w:u w:val="none"/>
        </w:rPr>
        <w:t>　　　　　　</w:t>
      </w:r>
    </w:p>
    <w:p>
      <w:pPr>
        <w:spacing w:line="360" w:lineRule="auto"/>
        <w:ind w:firstLine="280" w:firstLineChars="1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none"/>
        </w:rPr>
        <w:t>　</w:t>
      </w:r>
      <w:r>
        <w:rPr>
          <w:rFonts w:hint="eastAsia" w:ascii="仿宋" w:hAnsi="仿宋" w:eastAsia="仿宋"/>
          <w:sz w:val="28"/>
          <w:szCs w:val="28"/>
          <w:u w:val="none"/>
          <w:lang w:val="en-US" w:eastAsia="zh-CN"/>
        </w:rPr>
        <w:t>阳新县姜家湾小区36号</w:t>
      </w:r>
      <w:r>
        <w:rPr>
          <w:rFonts w:hint="eastAsia" w:ascii="仿宋" w:hAnsi="仿宋" w:eastAsia="仿宋"/>
          <w:sz w:val="28"/>
          <w:szCs w:val="28"/>
          <w:u w:val="non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none"/>
        </w:rPr>
        <w:t>　</w:t>
      </w:r>
      <w:r>
        <w:rPr>
          <w:rFonts w:hint="eastAsia" w:ascii="仿宋" w:hAnsi="仿宋" w:eastAsia="仿宋"/>
          <w:sz w:val="28"/>
          <w:szCs w:val="28"/>
          <w:u w:val="none"/>
          <w:lang w:val="en-US" w:eastAsia="zh-CN"/>
        </w:rPr>
        <w:t>18707179409</w:t>
      </w:r>
      <w:r>
        <w:rPr>
          <w:rFonts w:hint="eastAsia" w:ascii="仿宋" w:hAnsi="仿宋" w:eastAsia="仿宋"/>
          <w:sz w:val="28"/>
          <w:szCs w:val="28"/>
          <w:u w:val="none"/>
        </w:rPr>
        <w:t>　　　　　</w:t>
      </w:r>
    </w:p>
    <w:p>
      <w:pPr>
        <w:pStyle w:val="4"/>
        <w:spacing w:line="360" w:lineRule="auto"/>
        <w:ind w:firstLine="840" w:firstLineChars="300"/>
        <w:rPr>
          <w:rFonts w:ascii="仿宋" w:hAnsi="仿宋" w:eastAsia="仿宋" w:cs="宋体"/>
          <w:b w:val="0"/>
          <w:sz w:val="28"/>
          <w:szCs w:val="28"/>
        </w:rPr>
      </w:pPr>
      <w:bookmarkStart w:id="38" w:name="_Toc35393808"/>
      <w:bookmarkStart w:id="39" w:name="_Toc28359098"/>
      <w:bookmarkStart w:id="40" w:name="_Toc28359021"/>
      <w:bookmarkStart w:id="41"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38"/>
      <w:bookmarkEnd w:id="39"/>
      <w:bookmarkEnd w:id="40"/>
      <w:bookmarkEnd w:id="41"/>
    </w:p>
    <w:p>
      <w:pPr>
        <w:pStyle w:val="5"/>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none"/>
          <w:lang w:val="en-US" w:eastAsia="zh-CN"/>
        </w:rPr>
        <w:t>黄浦</w:t>
      </w:r>
    </w:p>
    <w:p>
      <w:pPr>
        <w:spacing w:line="360" w:lineRule="auto"/>
        <w:ind w:firstLine="840" w:firstLineChars="300"/>
        <w:rPr>
          <w:rFonts w:hint="eastAsia" w:ascii="仿宋" w:hAnsi="仿宋" w:eastAsia="仿宋"/>
          <w:sz w:val="28"/>
          <w:szCs w:val="28"/>
          <w:u w:val="none"/>
        </w:rPr>
      </w:pPr>
      <w:r>
        <w:rPr>
          <w:rFonts w:hint="eastAsia" w:ascii="仿宋" w:hAnsi="仿宋" w:eastAsia="仿宋"/>
          <w:sz w:val="28"/>
          <w:szCs w:val="28"/>
        </w:rPr>
        <w:t>电　　 话：</w:t>
      </w:r>
      <w:r>
        <w:rPr>
          <w:rFonts w:hint="eastAsia" w:ascii="仿宋" w:hAnsi="仿宋" w:eastAsia="仿宋"/>
          <w:sz w:val="28"/>
          <w:szCs w:val="28"/>
          <w:u w:val="none"/>
        </w:rPr>
        <w:t>　</w:t>
      </w:r>
      <w:r>
        <w:rPr>
          <w:rFonts w:hint="eastAsia" w:ascii="仿宋" w:hAnsi="仿宋" w:eastAsia="仿宋"/>
          <w:sz w:val="28"/>
          <w:szCs w:val="28"/>
          <w:u w:val="none"/>
          <w:lang w:val="en-US" w:eastAsia="zh-CN"/>
        </w:rPr>
        <w:t>18707179409</w:t>
      </w:r>
      <w:r>
        <w:rPr>
          <w:rFonts w:hint="eastAsia" w:ascii="仿宋" w:hAnsi="仿宋" w:eastAsia="仿宋"/>
          <w:sz w:val="28"/>
          <w:szCs w:val="28"/>
          <w:u w:val="none"/>
        </w:rPr>
        <w:t>　　　　　　　　　　　</w:t>
      </w:r>
    </w:p>
    <w:p>
      <w:pPr>
        <w:spacing w:line="360" w:lineRule="auto"/>
        <w:ind w:firstLine="840" w:firstLineChars="300"/>
        <w:rPr>
          <w:rFonts w:hint="eastAsia" w:ascii="仿宋" w:hAnsi="仿宋" w:eastAsia="仿宋"/>
          <w:sz w:val="28"/>
          <w:szCs w:val="28"/>
          <w:u w:val="single"/>
        </w:rPr>
      </w:pPr>
    </w:p>
    <w:p>
      <w:pPr>
        <w:spacing w:line="360" w:lineRule="auto"/>
        <w:ind w:firstLine="840" w:firstLineChars="300"/>
        <w:jc w:val="right"/>
        <w:rPr>
          <w:rFonts w:hint="eastAsia" w:ascii="仿宋" w:hAnsi="仿宋" w:eastAsia="仿宋"/>
          <w:sz w:val="28"/>
          <w:szCs w:val="28"/>
          <w:u w:val="single"/>
          <w:lang w:val="en-US" w:eastAsia="zh-CN"/>
        </w:rPr>
      </w:pPr>
    </w:p>
    <w:p>
      <w:pPr>
        <w:spacing w:line="360" w:lineRule="auto"/>
        <w:ind w:firstLine="840" w:firstLineChars="300"/>
        <w:jc w:val="right"/>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t xml:space="preserve"> 2020年10月15日</w:t>
      </w:r>
    </w:p>
    <w:p>
      <w:pPr>
        <w:widowControl/>
        <w:adjustRightInd w:val="0"/>
        <w:snapToGrid w:val="0"/>
        <w:spacing w:line="360" w:lineRule="auto"/>
        <w:jc w:val="center"/>
        <w:rPr>
          <w:rFonts w:ascii="Times New Roman" w:hAnsi="Times New Roman" w:cs="Times New Roman"/>
          <w:b/>
          <w:bCs/>
          <w:sz w:val="36"/>
          <w:szCs w:val="36"/>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0"/>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sz w:val="24"/>
                <w:szCs w:val="24"/>
                <w:u w:val="single"/>
                <w:lang w:val="en-US" w:eastAsia="zh-CN"/>
              </w:rPr>
              <w:t>湖北省阳新县黄颡口镇全域国土综合整治项目实施方案（2020年-2024年）编制</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&lt;MK&gt;pro.projectname &lt;/MK&gt;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项目编号</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sz w:val="24"/>
                <w:szCs w:val="24"/>
                <w:u w:val="single"/>
                <w:lang w:val="en-US" w:eastAsia="zh-CN"/>
              </w:rPr>
              <w:t>131-2020CG-200</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&lt;MK&gt;pro.schemecode&lt;/MK&gt;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采购人</w:t>
            </w:r>
          </w:p>
        </w:tc>
        <w:tc>
          <w:tcPr>
            <w:tcW w:w="5013" w:type="dxa"/>
            <w:tcBorders>
              <w:top w:val="single" w:color="auto" w:sz="4" w:space="0"/>
              <w:left w:val="single" w:color="auto" w:sz="4" w:space="0"/>
              <w:bottom w:val="single" w:color="auto" w:sz="4" w:space="0"/>
            </w:tcBorders>
            <w:vAlign w:val="center"/>
          </w:tcPr>
          <w:p>
            <w:pPr>
              <w:spacing w:line="360" w:lineRule="auto"/>
              <w:rPr>
                <w:rFonts w:hint="default" w:ascii="Times New Roman" w:hAnsi="Times New Roman" w:cs="Times New Roman" w:eastAsiaTheme="minorEastAsia"/>
                <w:kern w:val="0"/>
                <w:sz w:val="24"/>
                <w:lang w:val="en-US" w:eastAsia="zh-CN"/>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kern w:val="0"/>
                <w:sz w:val="24"/>
              </w:rPr>
              <w:fldChar w:fldCharType="separate"/>
            </w:r>
            <w:r>
              <w:rPr>
                <w:rFonts w:ascii="Times New Roman" w:hAnsi="Times New Roman" w:cs="Times New Roman"/>
                <w:kern w:val="0"/>
                <w:sz w:val="24"/>
              </w:rPr>
              <w:t>!异常的公式结尾</w:t>
            </w:r>
            <w:r>
              <w:rPr>
                <w:rFonts w:ascii="Times New Roman" w:hAnsi="Times New Roman" w:cs="Times New Roman"/>
                <w:kern w:val="0"/>
                <w:sz w:val="24"/>
              </w:rPr>
              <w:fldChar w:fldCharType="end"/>
            </w:r>
            <w:r>
              <w:rPr>
                <w:rFonts w:ascii="Times New Roman" w:hAnsi="Times New Roman" w:cs="Times New Roman"/>
                <w:kern w:val="0"/>
                <w:sz w:val="24"/>
              </w:rPr>
              <w:t>名称：</w:t>
            </w:r>
            <w:r>
              <w:rPr>
                <w:rFonts w:hint="eastAsia" w:ascii="Times New Roman" w:hAnsi="Times New Roman" w:cs="Times New Roman"/>
                <w:kern w:val="0"/>
                <w:sz w:val="24"/>
                <w:lang w:val="en-US" w:eastAsia="zh-CN"/>
              </w:rPr>
              <w:t>阳新县土地整理中心</w:t>
            </w:r>
          </w:p>
          <w:p>
            <w:pPr>
              <w:spacing w:line="360" w:lineRule="auto"/>
              <w:rPr>
                <w:rFonts w:ascii="Times New Roman" w:hAnsi="Times New Roman" w:cs="Times New Roman"/>
                <w:kern w:val="0"/>
                <w:sz w:val="24"/>
              </w:rPr>
            </w:pPr>
            <w:r>
              <w:rPr>
                <w:rFonts w:ascii="Times New Roman" w:hAnsi="Times New Roman" w:cs="Times New Roman"/>
                <w:kern w:val="0"/>
                <w:sz w:val="24"/>
              </w:rPr>
              <w:t>地址：</w:t>
            </w:r>
            <w:r>
              <w:rPr>
                <w:rFonts w:hint="eastAsia" w:ascii="Times New Roman" w:hAnsi="Times New Roman" w:cs="Times New Roman"/>
                <w:kern w:val="0"/>
                <w:sz w:val="24"/>
                <w:lang w:val="en-US" w:eastAsia="zh-CN"/>
              </w:rPr>
              <w:t>阳新县兴国镇</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&lt;MK&gt;buyers.unitaddr &lt;/MK&gt;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&lt;MK&gt;buyers.contactinfo&lt;/MK&gt;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&lt;MK&gt;buyers.organname&lt;/MK&gt;</w:instrText>
            </w:r>
            <w:r>
              <w:rPr>
                <w:rFonts w:ascii="Times New Roman" w:hAnsi="Times New Roman" w:cs="Times New Roman"/>
                <w:kern w:val="0"/>
                <w:sz w:val="24"/>
              </w:rPr>
              <w:fldChar w:fldCharType="end"/>
            </w:r>
          </w:p>
          <w:p>
            <w:pPr>
              <w:spacing w:line="360" w:lineRule="auto"/>
              <w:rPr>
                <w:rFonts w:ascii="Times New Roman" w:hAnsi="Times New Roman" w:cs="Times New Roman"/>
                <w:kern w:val="0"/>
                <w:sz w:val="24"/>
              </w:rPr>
            </w:pPr>
            <w:r>
              <w:rPr>
                <w:rFonts w:ascii="Times New Roman" w:hAnsi="Times New Roman" w:cs="Times New Roman"/>
                <w:kern w:val="0"/>
                <w:sz w:val="24"/>
              </w:rPr>
              <w:t>联系人：</w:t>
            </w:r>
            <w:r>
              <w:rPr>
                <w:rFonts w:hint="eastAsia" w:ascii="Times New Roman" w:hAnsi="Times New Roman" w:cs="Times New Roman"/>
                <w:kern w:val="0"/>
                <w:sz w:val="24"/>
                <w:lang w:val="en-US" w:eastAsia="zh-CN"/>
              </w:rPr>
              <w:t>董才文</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&lt;MK&gt;buyers.ownerlinkman &lt;/MK&gt;</w:instrText>
            </w:r>
            <w:r>
              <w:rPr>
                <w:rFonts w:ascii="Times New Roman" w:hAnsi="Times New Roman" w:cs="Times New Roman"/>
                <w:kern w:val="0"/>
                <w:sz w:val="24"/>
              </w:rPr>
              <w:fldChar w:fldCharType="end"/>
            </w:r>
          </w:p>
          <w:p>
            <w:pPr>
              <w:spacing w:line="360" w:lineRule="auto"/>
              <w:rPr>
                <w:rFonts w:hint="default" w:ascii="Times New Roman" w:hAnsi="Times New Roman" w:cs="Times New Roman" w:eastAsiaTheme="minorEastAsia"/>
                <w:lang w:val="en-US" w:eastAsia="zh-CN"/>
              </w:rPr>
            </w:pPr>
            <w:r>
              <w:rPr>
                <w:rFonts w:ascii="Times New Roman" w:hAnsi="Times New Roman" w:cs="Times New Roman"/>
                <w:kern w:val="0"/>
                <w:sz w:val="24"/>
              </w:rPr>
              <w:t>联系方式：</w:t>
            </w:r>
            <w:r>
              <w:rPr>
                <w:rFonts w:hint="eastAsia" w:ascii="Times New Roman" w:hAnsi="Times New Roman" w:cs="Times New Roman"/>
                <w:kern w:val="0"/>
                <w:sz w:val="24"/>
                <w:lang w:val="en-US" w:eastAsia="zh-CN"/>
              </w:rPr>
              <w:t>0714-7322157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FF0000"/>
                <w:sz w:val="24"/>
              </w:rPr>
            </w:pPr>
            <w:r>
              <w:rPr>
                <w:rFonts w:ascii="Times New Roman" w:hAnsi="Times New Roman" w:cs="Times New Roman"/>
                <w:color w:val="FF0000"/>
                <w:sz w:val="24"/>
              </w:rPr>
              <w:t>采购</w:t>
            </w:r>
            <w:r>
              <w:rPr>
                <w:rFonts w:hint="eastAsia" w:ascii="Times New Roman" w:hAnsi="Times New Roman" w:cs="Times New Roman"/>
                <w:color w:val="FF0000"/>
                <w:sz w:val="24"/>
              </w:rPr>
              <w:t>代理机构</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kern w:val="0"/>
                <w:sz w:val="24"/>
              </w:rPr>
            </w:pPr>
            <w:r>
              <w:rPr>
                <w:rFonts w:ascii="Times New Roman" w:hAnsi="Times New Roman" w:cs="Times New Roman"/>
                <w:kern w:val="0"/>
                <w:sz w:val="24"/>
              </w:rPr>
              <w:t>名称：</w:t>
            </w:r>
            <w:r>
              <w:rPr>
                <w:rFonts w:hint="eastAsia" w:ascii="Times New Roman" w:hAnsi="Times New Roman" w:cs="Times New Roman"/>
                <w:kern w:val="0"/>
                <w:sz w:val="24"/>
                <w:lang w:val="en-US" w:eastAsia="zh-CN"/>
              </w:rPr>
              <w:t>湖北宏大工程咨询有限公司</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org.organname&lt;/MK&gt;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地址：</w:t>
            </w:r>
            <w:r>
              <w:rPr>
                <w:rFonts w:hint="eastAsia" w:ascii="Times New Roman" w:hAnsi="Times New Roman" w:cs="Times New Roman"/>
                <w:kern w:val="0"/>
                <w:sz w:val="24"/>
                <w:lang w:val="en-US" w:eastAsia="zh-CN"/>
              </w:rPr>
              <w:t>阳新县姜家湾小区36号</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org.unitaddr &lt;/MK&gt;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联系人：</w:t>
            </w:r>
            <w:r>
              <w:rPr>
                <w:rFonts w:hint="eastAsia" w:ascii="Times New Roman" w:hAnsi="Times New Roman" w:cs="Times New Roman"/>
                <w:kern w:val="0"/>
                <w:sz w:val="24"/>
                <w:lang w:val="en-US" w:eastAsia="zh-CN"/>
              </w:rPr>
              <w:t>黄浦</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&lt;MK&gt;pro.username&lt;/MK&gt;</w:instrText>
            </w:r>
            <w:r>
              <w:rPr>
                <w:rFonts w:ascii="Times New Roman" w:hAnsi="Times New Roman" w:cs="Times New Roman"/>
                <w:kern w:val="0"/>
                <w:sz w:val="24"/>
              </w:rPr>
              <w:fldChar w:fldCharType="end"/>
            </w:r>
          </w:p>
          <w:p>
            <w:pPr>
              <w:spacing w:line="360" w:lineRule="auto"/>
              <w:ind w:right="-105" w:rightChars="-50"/>
              <w:jc w:val="left"/>
              <w:rPr>
                <w:rFonts w:hint="default" w:ascii="Times New Roman" w:hAnsi="Times New Roman" w:cs="Times New Roman" w:eastAsiaTheme="minorEastAsia"/>
                <w:kern w:val="0"/>
                <w:sz w:val="24"/>
                <w:lang w:val="en-US" w:eastAsia="zh-CN"/>
              </w:rPr>
            </w:pPr>
            <w:r>
              <w:rPr>
                <w:rFonts w:ascii="Times New Roman" w:hAnsi="Times New Roman" w:cs="Times New Roman"/>
                <w:kern w:val="0"/>
                <w:sz w:val="24"/>
              </w:rPr>
              <w:t>联系电话：</w:t>
            </w:r>
            <w:r>
              <w:rPr>
                <w:rFonts w:hint="eastAsia" w:ascii="Times New Roman" w:hAnsi="Times New Roman" w:cs="Times New Roman"/>
                <w:kern w:val="0"/>
                <w:sz w:val="24"/>
                <w:lang w:val="en-US" w:eastAsia="zh-CN"/>
              </w:rPr>
              <w:t>18707179409</w:t>
            </w:r>
          </w:p>
          <w:p>
            <w:pPr>
              <w:spacing w:line="360" w:lineRule="auto"/>
              <w:ind w:right="-105" w:rightChars="-50"/>
              <w:jc w:val="left"/>
              <w:rPr>
                <w:rFonts w:ascii="Times New Roman" w:hAnsi="Times New Roman" w:cs="Times New Roman"/>
                <w:sz w:val="24"/>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rPr>
              <w:t>监狱企业、残疾人福利性单位</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kern w:val="0"/>
                <w:sz w:val="24"/>
              </w:rPr>
            </w:pPr>
            <w:r>
              <w:rPr>
                <w:rFonts w:ascii="Times New Roman" w:hAnsi="Times New Roman" w:cs="Times New Roman"/>
                <w:color w:val="000000"/>
                <w:sz w:val="24"/>
              </w:rPr>
              <w:t>是/否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000000"/>
                <w:sz w:val="24"/>
              </w:rPr>
            </w:pPr>
            <w:r>
              <w:rPr>
                <w:rFonts w:ascii="Times New Roman" w:hAnsi="Times New Roman" w:cs="Times New Roman"/>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color w:val="000000"/>
                <w:sz w:val="24"/>
              </w:rPr>
            </w:pPr>
            <w:r>
              <w:rPr>
                <w:rFonts w:ascii="Times New Roman" w:hAnsi="Times New Roman" w:cs="Times New Roman"/>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3%</w:t>
            </w:r>
          </w:p>
        </w:tc>
      </w:tr>
    </w:tbl>
    <w:p>
      <w:pPr>
        <w:widowControl/>
        <w:spacing w:line="360" w:lineRule="auto"/>
        <w:jc w:val="left"/>
        <w:rPr>
          <w:rFonts w:ascii="Times New Roman" w:hAnsi="Times New Roman" w:eastAsia="仿宋_GB2312" w:cs="Times New Roman"/>
          <w:bCs/>
          <w:color w:val="000000" w:themeColor="text1"/>
          <w:sz w:val="24"/>
        </w:rPr>
      </w:pPr>
    </w:p>
    <w:p>
      <w:pPr>
        <w:widowControl/>
        <w:spacing w:line="360" w:lineRule="auto"/>
        <w:jc w:val="left"/>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br w:type="textWrapping"/>
      </w:r>
    </w:p>
    <w:p>
      <w:pPr>
        <w:widowControl/>
        <w:spacing w:line="360" w:lineRule="auto"/>
        <w:jc w:val="left"/>
        <w:rPr>
          <w:rFonts w:ascii="Times New Roman" w:hAnsi="Times New Roman" w:eastAsia="黑体" w:cs="Times New Roman"/>
          <w:bCs/>
          <w:sz w:val="24"/>
          <w:szCs w:val="24"/>
        </w:rPr>
      </w:pPr>
      <w:r>
        <w:rPr>
          <w:rFonts w:ascii="Times New Roman" w:hAnsi="Times New Roman" w:eastAsia="黑体" w:cs="Times New Roman"/>
          <w:bCs/>
          <w:sz w:val="24"/>
          <w:szCs w:val="24"/>
        </w:rPr>
        <w:br w:type="page"/>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themeColor="text1"/>
          <w:sz w:val="24"/>
        </w:rPr>
        <w:t>详见《磋商须知前附表》</w:t>
      </w:r>
      <w:r>
        <w:rPr>
          <w:rFonts w:ascii="Times New Roman" w:hAnsi="Times New Roman" w:cs="Times New Roman"/>
          <w:bCs/>
          <w:color w:val="FF0000"/>
          <w:sz w:val="24"/>
          <w:szCs w:val="24"/>
        </w:rPr>
        <w:t>。</w:t>
      </w:r>
    </w:p>
    <w:p>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color w:val="FF0000"/>
          <w:sz w:val="24"/>
          <w:szCs w:val="24"/>
        </w:rPr>
        <w:t>阳新县政府采购办公室、阳新县公共资源交易监督管理局。</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3.4本文件第一章第五条除上述以外的条款。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color w:val="000000" w:themeColor="text1"/>
          <w:sz w:val="24"/>
        </w:rPr>
      </w:pPr>
      <w:r>
        <w:rPr>
          <w:rFonts w:hint="eastAsia"/>
          <w:bCs/>
          <w:color w:val="000000" w:themeColor="text1"/>
          <w:sz w:val="24"/>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color w:val="000000" w:themeColor="text1"/>
          <w:sz w:val="24"/>
        </w:rPr>
        <w:t>4.2</w:t>
      </w:r>
      <w:r>
        <w:rPr>
          <w:rFonts w:hint="eastAsia" w:ascii="宋体" w:hAnsi="宋体"/>
          <w:sz w:val="24"/>
        </w:rPr>
        <w:t>采购代理服务费</w:t>
      </w:r>
    </w:p>
    <w:p>
      <w:pPr>
        <w:pStyle w:val="31"/>
        <w:spacing w:line="360" w:lineRule="auto"/>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1" name="Line 16"/>
                      <wp:cNvGraphicFramePr/>
                      <a:graphic xmlns:a="http://schemas.openxmlformats.org/drawingml/2006/main">
                        <a:graphicData uri="http://schemas.microsoft.com/office/word/2010/wordprocessingShape">
                          <wps:wsp>
                            <wps:cNvSp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57216;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xHEQI0gEAAKUDAAAOAAAAZHJzL2Uyb0RvYy54bWytU8uOEzEQvCPx&#10;D5bvZDIRCZtRJnsgLBxWsNIC944fM5b8ktubSf6ethPCYy8rxBys9nS7XFXd3twenWUHldAE3/N2&#10;NudMeRGk8UPPv329e3PDGWbwEmzwqucnhfx2+/rVZoqdWoQxWKkSIxCP3RR7PuYcu6ZBMSoHOAtR&#10;eUrqkBxk2qahkQkmQne2Wcznq2YKScYUhEKkv7tzkm8rvtZK5C9ao8rM9py45bqmuu7L2mw30A0J&#10;4mjEhQb8AwsHxtOlV6gdZGBPyTyDckakgEHnmQiuCVoboaoGUtPO/1LzOEJUVQuZg/FqE/4/WPH5&#10;8JCYkdQ7zjw4atG98Yq1q2LNFLGjisf4kC47pLDoPOrkmLYmfqonS/S9RCVHqtixWny6WqyOmQn6&#10;2b5t5+t31AlBuZvVer2sPWjOiOV0TJg/quBYCXpuiU1FhcM9ZmJBpT9LSrn1bOr5erlYEibQBGkL&#10;mUIXSRP6oZ7FYI28M9aWE5iG/Xub2AHKTNSvaCXcP8rKJTvA8VxXU+dpGRXID16yfIrklqex5oWC&#10;U5Izq+gVlIgAoctg7Esq6WrriUGx+2xwifZBnqg3TzGZYSQn2sqyZGgWKt/L3JZh+31fkX69ru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EZzrNEAAAAJAQAADwAAAAAAAAABACAAAAAiAAAAZHJz&#10;L2Rvd25yZXYueG1sUEsBAhQAFAAAAAgAh07iQHEcRAjSAQAApQMAAA4AAAAAAAAAAQAgAAAAIAEA&#10;AGRycy9lMm9Eb2MueG1sUEsFBgAAAAAGAAYAWQEAAGQ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2" name="Line 17"/>
                      <wp:cNvGraphicFramePr/>
                      <a:graphic xmlns:a="http://schemas.openxmlformats.org/drawingml/2006/main">
                        <a:graphicData uri="http://schemas.microsoft.com/office/word/2010/wordprocessingShape">
                          <wps:wsp>
                            <wps:cNvSp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58240;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3l/2M8BAAClAwAADgAAAGRycy9lMm9Eb2MueG1srVNNbxMx&#10;EL0j8R8s38nuRoTSVTY9EAqHCioVep/4Y9eSv+Rxs8m/Z+yk4etSIXywxp7n53nP4/XNwVm2VwlN&#10;8APvFi1nyosgjR8H/v3b7Zv3nGEGL8EGrwZ+VMhvNq9frefYq2WYgpUqMSLx2M9x4FPOsW8aFJNy&#10;gIsQlaekDslBpmUaG5lgJnZnm2XbvmvmkGRMQShE2t2eknxT+bVWIn/VGlVmduBUW65zqvOuzM1m&#10;Df2YIE5GnMuAf6jCgfF06YVqCxnYUzJ/UTkjUsCg80IE1wStjVBVA6np2j/UPEwQVdVC5mC82IT/&#10;j1Z82d8nZuTAl5x5cPREd8Yr1l0Va+aIPSEe4n06r5DCovOgk2PamviZXp3X6LFEJUeq2KFafLxY&#10;rA6ZCdrsVtdX7XLFmaDc22XXtqtyUXNiLKdjwvxJBcdKMHBL1VRW2N9hPkGfIQVuPZsHfr2qnEAd&#10;pC1koneRNKEf61kM1shbY205gWncfbCJ7aH0RB3nEn6DlUu2gNMJV1MFBv2kQH70kuVjJLc8tTUv&#10;JTglObOKfkGJKjKDsS9BknrryYRi98ngEu2CPNLbPMVkxomc6GqVJUO9UC07921ptl/Xlenn79r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A3eX/Y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sugMPL0BAACIAwAADgAAAGRycy9lMm9Eb2MueG1srVPLbhsx&#10;DLwXyD8IusdrO3DQLrzOoW5yCdoAaT+Alri7AvSCqHjtvw8lO04fl6KoDzIlUsOZEXd9d3BW7DGR&#10;Cb6Ti9lcCvQqaOOHTv74fn/9UQrK4DXY4LGTRyR5t7n6sJ5ii8swBqsxCQbx1E6xk2POsW0aUiM6&#10;oFmI6DnZh+Qg8zYNjU4wMbqzzXI+v22mkHRMQSERn25PSbmp+H2PKn/re8IsbCeZW65rquuurM1m&#10;De2QII5GnWnAP7BwYDw3vUBtIYN4SeYPKGdUChT6PFPBNaHvjcKqgdUs5r+peR4hYtXC5lC82ET/&#10;D1Z93T8lYXQnb6Tw4PiJHo1HsVgVa6ZILVc8x6d03hGHReehT678swJxqHYeL3biIQvFh7c3KynU&#10;23nzfikmyg8YnChBJy03rObB/pEyN+LSt5LSw3oxdfLTalnggIekt5A5dJFpkx/qXQrW6HtjbblB&#10;adh9tknsoTx7/RU5jPtLWWmyBRpPdTV1GogRQX/xWuRjZEM8T64sFBxqKSzyoJeIAaHNYOzfVHJr&#10;65lBcfTkYYl2QR/Z/peYzDCyE4vKsmT4uSvf82iWefp5X5HeP6DN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R037VAAAACQEAAA8AAAAAAAAAAQAgAAAAIgAAAGRycy9kb3ducmV2LnhtbFBLAQIU&#10;ABQAAAAIAIdO4kCy6Aw8vQEAAIgDAAAOAAAAAAAAAAEAIAAAACQBAABkcnMvZTJvRG9jLnhtbFBL&#10;BQYAAAAABgAGAFkBAABTBQ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hAnsi="宋体" w:cs="宋体"/>
                <w:sz w:val="24"/>
              </w:rPr>
            </w:pPr>
            <w:r>
              <w:rPr>
                <w:rFonts w:hint="eastAsia" w:ascii="宋体" w:hAnsi="宋体" w:cs="宋体"/>
                <w:sz w:val="24"/>
              </w:rPr>
              <w:t>100以下</w:t>
            </w:r>
          </w:p>
        </w:tc>
        <w:tc>
          <w:tcPr>
            <w:tcW w:w="2028" w:type="dxa"/>
          </w:tcPr>
          <w:p>
            <w:pPr>
              <w:spacing w:line="360" w:lineRule="auto"/>
              <w:jc w:val="center"/>
              <w:rPr>
                <w:rFonts w:ascii="宋体" w:hAnsi="宋体" w:cs="宋体"/>
                <w:sz w:val="24"/>
              </w:rPr>
            </w:pPr>
            <w:r>
              <w:rPr>
                <w:rFonts w:hint="eastAsia" w:ascii="宋体" w:hAnsi="宋体" w:cs="宋体"/>
                <w:sz w:val="24"/>
              </w:rPr>
              <w:t>1.5%</w:t>
            </w:r>
          </w:p>
        </w:tc>
        <w:tc>
          <w:tcPr>
            <w:tcW w:w="1842" w:type="dxa"/>
          </w:tcPr>
          <w:p>
            <w:pPr>
              <w:spacing w:line="360" w:lineRule="auto"/>
              <w:jc w:val="center"/>
              <w:rPr>
                <w:rFonts w:ascii="宋体" w:hAnsi="宋体" w:cs="宋体"/>
                <w:sz w:val="24"/>
              </w:rPr>
            </w:pPr>
            <w:r>
              <w:rPr>
                <w:rFonts w:hint="eastAsia" w:ascii="宋体" w:hAnsi="宋体" w:cs="宋体"/>
                <w:sz w:val="24"/>
              </w:rPr>
              <w:t>1.5%</w:t>
            </w:r>
          </w:p>
        </w:tc>
        <w:tc>
          <w:tcPr>
            <w:tcW w:w="198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100-500</w:t>
            </w:r>
          </w:p>
        </w:tc>
        <w:tc>
          <w:tcPr>
            <w:tcW w:w="2028" w:type="dxa"/>
          </w:tcPr>
          <w:p>
            <w:pPr>
              <w:spacing w:line="360" w:lineRule="auto"/>
              <w:jc w:val="center"/>
              <w:rPr>
                <w:rFonts w:ascii="宋体" w:hAnsi="宋体" w:cs="宋体"/>
                <w:sz w:val="24"/>
              </w:rPr>
            </w:pPr>
            <w:r>
              <w:rPr>
                <w:rFonts w:hint="eastAsia" w:ascii="宋体" w:hAnsi="宋体" w:cs="宋体"/>
                <w:sz w:val="24"/>
              </w:rPr>
              <w:t>1.1%</w:t>
            </w:r>
          </w:p>
        </w:tc>
        <w:tc>
          <w:tcPr>
            <w:tcW w:w="1842" w:type="dxa"/>
          </w:tcPr>
          <w:p>
            <w:pPr>
              <w:spacing w:line="360" w:lineRule="auto"/>
              <w:jc w:val="center"/>
              <w:rPr>
                <w:rFonts w:ascii="宋体" w:hAnsi="宋体" w:cs="宋体"/>
                <w:sz w:val="24"/>
              </w:rPr>
            </w:pPr>
            <w:r>
              <w:rPr>
                <w:rFonts w:hint="eastAsia" w:ascii="宋体" w:hAnsi="宋体" w:cs="宋体"/>
                <w:sz w:val="24"/>
              </w:rPr>
              <w:t>0.8%</w:t>
            </w:r>
          </w:p>
        </w:tc>
        <w:tc>
          <w:tcPr>
            <w:tcW w:w="198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500-1000</w:t>
            </w:r>
          </w:p>
        </w:tc>
        <w:tc>
          <w:tcPr>
            <w:tcW w:w="2028" w:type="dxa"/>
          </w:tcPr>
          <w:p>
            <w:pPr>
              <w:spacing w:line="360" w:lineRule="auto"/>
              <w:jc w:val="center"/>
              <w:rPr>
                <w:rFonts w:ascii="宋体" w:hAnsi="宋体" w:cs="宋体"/>
                <w:sz w:val="24"/>
              </w:rPr>
            </w:pPr>
            <w:r>
              <w:rPr>
                <w:rFonts w:hint="eastAsia" w:ascii="宋体" w:hAnsi="宋体" w:cs="宋体"/>
                <w:sz w:val="24"/>
              </w:rPr>
              <w:t>0.8%</w:t>
            </w:r>
          </w:p>
        </w:tc>
        <w:tc>
          <w:tcPr>
            <w:tcW w:w="1842" w:type="dxa"/>
          </w:tcPr>
          <w:p>
            <w:pPr>
              <w:spacing w:line="360" w:lineRule="auto"/>
              <w:jc w:val="center"/>
              <w:rPr>
                <w:rFonts w:ascii="宋体" w:hAnsi="宋体" w:cs="宋体"/>
                <w:sz w:val="24"/>
              </w:rPr>
            </w:pPr>
            <w:r>
              <w:rPr>
                <w:rFonts w:hint="eastAsia" w:ascii="宋体" w:hAnsi="宋体" w:cs="宋体"/>
                <w:sz w:val="24"/>
              </w:rPr>
              <w:t>0.45%</w:t>
            </w:r>
          </w:p>
        </w:tc>
        <w:tc>
          <w:tcPr>
            <w:tcW w:w="1985" w:type="dxa"/>
          </w:tcPr>
          <w:p>
            <w:pPr>
              <w:spacing w:line="360" w:lineRule="auto"/>
              <w:jc w:val="center"/>
              <w:rPr>
                <w:rFonts w:ascii="宋体" w:hAnsi="宋体" w:cs="宋体"/>
                <w:sz w:val="24"/>
              </w:rPr>
            </w:pPr>
            <w:r>
              <w:rPr>
                <w:rFonts w:hint="eastAsia" w:ascii="宋体" w:hAnsi="宋体" w:cs="宋体"/>
                <w:sz w:val="24"/>
              </w:rPr>
              <w:t>0.55％</w:t>
            </w:r>
          </w:p>
        </w:tc>
      </w:tr>
    </w:tbl>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2）报价组成情况表(附件2)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3）货物（服务）清单(附件3)；</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4）资格性符合性检查对照表(附件4)；</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5）技术响应、偏离情况说明表(附件5)；</w:t>
      </w:r>
    </w:p>
    <w:p>
      <w:pPr>
        <w:spacing w:line="360" w:lineRule="auto"/>
        <w:rPr>
          <w:rFonts w:ascii="Times New Roman" w:hAnsi="Times New Roman" w:cs="Times New Roman"/>
          <w:bCs/>
          <w:sz w:val="24"/>
          <w:szCs w:val="24"/>
        </w:rPr>
      </w:pPr>
      <w:r>
        <w:rPr>
          <w:rFonts w:ascii="Times New Roman" w:hAnsi="Times New Roman" w:cs="Times New Roman"/>
          <w:bCs/>
          <w:sz w:val="24"/>
          <w:szCs w:val="24"/>
        </w:rPr>
        <w:t>6）合同草案条款响应、偏离情况说明表（附件6）；</w:t>
      </w:r>
    </w:p>
    <w:p>
      <w:pPr>
        <w:spacing w:line="360" w:lineRule="auto"/>
        <w:rPr>
          <w:rFonts w:ascii="Times New Roman" w:hAnsi="Times New Roman" w:cs="Times New Roman"/>
          <w:bCs/>
          <w:sz w:val="24"/>
          <w:szCs w:val="24"/>
        </w:rPr>
      </w:pPr>
      <w:r>
        <w:rPr>
          <w:rFonts w:ascii="Times New Roman" w:hAnsi="Times New Roman" w:cs="Times New Roman"/>
          <w:bCs/>
          <w:sz w:val="24"/>
          <w:szCs w:val="24"/>
        </w:rPr>
        <w:t>7）法人（负责人）代表授权书（附件7）；</w:t>
      </w:r>
    </w:p>
    <w:p>
      <w:pPr>
        <w:spacing w:line="360" w:lineRule="auto"/>
        <w:rPr>
          <w:rFonts w:ascii="Times New Roman" w:hAnsi="Times New Roman" w:cs="Times New Roman"/>
          <w:bCs/>
          <w:sz w:val="24"/>
          <w:szCs w:val="24"/>
        </w:rPr>
      </w:pPr>
      <w:r>
        <w:rPr>
          <w:rFonts w:ascii="Times New Roman" w:hAnsi="Times New Roman" w:cs="Times New Roman"/>
          <w:bCs/>
          <w:sz w:val="24"/>
          <w:szCs w:val="24"/>
        </w:rPr>
        <w:t>8）法人或者其他组织的营业执照等证明文件，自然人的身份证明(附件8)；</w:t>
      </w:r>
    </w:p>
    <w:p>
      <w:pPr>
        <w:spacing w:line="360" w:lineRule="auto"/>
        <w:rPr>
          <w:rFonts w:ascii="Times New Roman" w:hAnsi="Times New Roman" w:cs="Times New Roman"/>
          <w:bCs/>
          <w:sz w:val="24"/>
          <w:szCs w:val="24"/>
        </w:rPr>
      </w:pPr>
      <w:r>
        <w:rPr>
          <w:rFonts w:ascii="Times New Roman" w:hAnsi="Times New Roman" w:cs="Times New Roman"/>
          <w:bCs/>
          <w:sz w:val="24"/>
          <w:szCs w:val="24"/>
        </w:rPr>
        <w:t>9）财务状况报告，依法缴纳税收和社会保障资金的相关材料(附件9)；</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10）具备履行合同所必需的设备和专业技术能力的证明材料(附件10)；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11）参加政府采购活动前3年内在经营活动中没有重大违法记录的书面声明(附件11)；</w:t>
      </w:r>
    </w:p>
    <w:p>
      <w:pPr>
        <w:spacing w:line="360" w:lineRule="auto"/>
        <w:ind w:left="362" w:leftChars="1" w:hanging="360" w:hangingChars="150"/>
        <w:rPr>
          <w:bCs/>
          <w:color w:val="000000" w:themeColor="text1"/>
          <w:sz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360" w:lineRule="auto"/>
        <w:ind w:left="362" w:leftChars="1" w:hanging="360" w:hangingChars="150"/>
        <w:rPr>
          <w:bCs/>
          <w:color w:val="000000" w:themeColor="text1"/>
          <w:sz w:val="24"/>
        </w:rPr>
      </w:pPr>
      <w:r>
        <w:rPr>
          <w:rFonts w:hint="eastAsia"/>
          <w:bCs/>
          <w:color w:val="000000" w:themeColor="text1"/>
          <w:sz w:val="24"/>
        </w:rPr>
        <w:t>13）《中小企业声明函》、《残疾人福利性单位声明函》(附件13)。</w:t>
      </w:r>
    </w:p>
    <w:p>
      <w:pPr>
        <w:spacing w:line="360" w:lineRule="auto"/>
        <w:ind w:left="273" w:leftChars="130"/>
        <w:rPr>
          <w:b/>
          <w:bCs/>
          <w:color w:val="000000" w:themeColor="text1"/>
          <w:sz w:val="24"/>
        </w:rPr>
      </w:pPr>
      <w:r>
        <w:rPr>
          <w:rFonts w:hint="eastAsia"/>
          <w:b/>
          <w:bCs/>
          <w:color w:val="000000" w:themeColor="text1"/>
          <w:sz w:val="24"/>
        </w:rPr>
        <w:t>本文件要求提供的其他资格证明文件及资料。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rPr>
        <w:t>起</w:t>
      </w:r>
      <w:r>
        <w:rPr>
          <w:rFonts w:hint="eastAsia"/>
          <w:bCs/>
          <w:color w:val="FF0000"/>
          <w:sz w:val="24"/>
        </w:rPr>
        <w:t>（</w:t>
      </w:r>
      <w:r>
        <w:rPr>
          <w:rFonts w:hint="eastAsia"/>
          <w:bCs/>
          <w:color w:val="FF0000"/>
          <w:sz w:val="24"/>
          <w:u w:val="single"/>
        </w:rPr>
        <w:t>60或90</w:t>
      </w:r>
      <w:r>
        <w:rPr>
          <w:rFonts w:hint="eastAsia"/>
          <w:bCs/>
          <w:color w:val="FF0000"/>
          <w:sz w:val="24"/>
        </w:rPr>
        <w:t>）</w:t>
      </w:r>
      <w:r>
        <w:rPr>
          <w:bCs/>
          <w:color w:val="000000" w:themeColor="text1"/>
          <w:sz w:val="24"/>
        </w:rPr>
        <w:t>日历日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360" w:lineRule="auto"/>
        <w:outlineLvl w:val="0"/>
        <w:rPr>
          <w:rFonts w:ascii="Times New Roman" w:hAnsi="Times New Roman" w:cs="Times New Roman"/>
          <w:b/>
          <w:sz w:val="24"/>
          <w:szCs w:val="24"/>
        </w:rPr>
      </w:pPr>
    </w:p>
    <w:p>
      <w:pPr>
        <w:spacing w:line="360" w:lineRule="auto"/>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360" w:lineRule="auto"/>
        <w:ind w:left="420" w:hanging="420"/>
        <w:rPr>
          <w:rFonts w:ascii="Times New Roman" w:hAnsi="Times New Roman" w:cs="Times New Roman"/>
          <w:b/>
          <w:bCs/>
          <w:sz w:val="24"/>
          <w:szCs w:val="24"/>
        </w:rPr>
      </w:pP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rPr>
        <w:t>五</w:t>
      </w:r>
      <w:r>
        <w:rPr>
          <w:rFonts w:ascii="Times New Roman" w:hAnsi="Times New Roman" w:cs="Times New Roman"/>
          <w:b/>
          <w:sz w:val="24"/>
          <w:szCs w:val="24"/>
        </w:rPr>
        <w:t>份，其中正本一份，副本</w:t>
      </w:r>
      <w:r>
        <w:rPr>
          <w:rFonts w:hint="eastAsia" w:ascii="Times New Roman" w:hAnsi="Times New Roman" w:cs="Times New Roman"/>
          <w:b/>
          <w:bCs/>
          <w:sz w:val="24"/>
          <w:szCs w:val="24"/>
        </w:rPr>
        <w:t>四</w:t>
      </w:r>
      <w:r>
        <w:rPr>
          <w:rFonts w:ascii="Times New Roman" w:hAnsi="Times New Roman" w:cs="Times New Roman"/>
          <w:b/>
          <w:bCs/>
          <w:sz w:val="24"/>
          <w:szCs w:val="24"/>
        </w:rPr>
        <w:t>份。</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w:t>
      </w:r>
      <w:r>
        <w:rPr>
          <w:rFonts w:ascii="Times New Roman" w:hAnsi="Times New Roman" w:cs="Times New Roman"/>
          <w:bCs/>
          <w:color w:val="FF0000"/>
          <w:sz w:val="24"/>
          <w:szCs w:val="24"/>
        </w:rPr>
        <w:t>照随机抽签的顺序</w:t>
      </w:r>
      <w:r>
        <w:rPr>
          <w:rFonts w:hint="eastAsia" w:ascii="Times New Roman" w:hAnsi="Times New Roman" w:cs="Times New Roman"/>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360" w:lineRule="auto"/>
        <w:rPr>
          <w:rFonts w:ascii="Times New Roman" w:hAnsi="Times New Roman" w:cs="Times New Roman"/>
          <w:sz w:val="24"/>
          <w:szCs w:val="24"/>
        </w:rPr>
      </w:pP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.货物（服务）交付验收合格后，</w:t>
      </w:r>
      <w:r>
        <w:rPr>
          <w:rFonts w:ascii="Times New Roman" w:hAnsi="Times New Roman" w:cs="Times New Roman"/>
          <w:bCs/>
          <w:color w:val="FF0000"/>
          <w:sz w:val="24"/>
          <w:szCs w:val="24"/>
        </w:rPr>
        <w:t>采购人办理相应金额的支付手续。</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360" w:lineRule="auto"/>
        <w:jc w:val="center"/>
        <w:rPr>
          <w:rFonts w:ascii="Times New Roman" w:hAnsi="Times New Roman" w:cs="Times New Roman"/>
          <w:b/>
          <w:sz w:val="24"/>
          <w:szCs w:val="24"/>
          <w:lang w:bidi="ar-EG"/>
        </w:rPr>
        <w:sectPr>
          <w:headerReference r:id="rId10"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
          <w:sz w:val="36"/>
          <w:szCs w:val="36"/>
          <w:lang w:val="hr-HR" w:bidi="ar-EG"/>
        </w:rPr>
      </w:pPr>
      <w:r>
        <w:rPr>
          <w:rFonts w:ascii="Times New Roman" w:hAnsi="Times New Roman" w:cs="Times New Roman"/>
          <w:b/>
          <w:sz w:val="36"/>
          <w:szCs w:val="36"/>
          <w:lang w:val="hr-HR" w:bidi="ar-EG"/>
        </w:rPr>
        <w:t>第三章  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adjustRightInd w:val="0"/>
        <w:snapToGrid w:val="0"/>
        <w:spacing w:line="360" w:lineRule="auto"/>
        <w:outlineLvl w:val="0"/>
        <w:rPr>
          <w:rFonts w:hint="eastAsia" w:ascii="Times New Roman" w:hAnsi="Times New Roman" w:cs="Times New Roman"/>
          <w:b/>
          <w:sz w:val="24"/>
          <w:szCs w:val="24"/>
        </w:rPr>
      </w:pPr>
    </w:p>
    <w:p>
      <w:pPr>
        <w:pStyle w:val="34"/>
        <w:rPr>
          <w:rFonts w:hint="eastAsia"/>
        </w:rPr>
      </w:pPr>
      <w:bookmarkStart w:id="42" w:name="_Toc44351381"/>
      <w:r>
        <w:rPr>
          <w:rFonts w:hint="eastAsia"/>
        </w:rPr>
        <w:t>项目概况</w:t>
      </w:r>
      <w:bookmarkEnd w:id="42"/>
    </w:p>
    <w:p>
      <w:pPr>
        <w:pStyle w:val="36"/>
        <w:numPr>
          <w:ilvl w:val="0"/>
          <w:numId w:val="0"/>
        </w:numPr>
        <w:ind w:left="210"/>
      </w:pPr>
      <w:r>
        <w:rPr>
          <w:rFonts w:hint="eastAsia"/>
        </w:rPr>
        <w:t>项目内容及需求：</w:t>
      </w:r>
    </w:p>
    <w:p>
      <w:pPr>
        <w:pStyle w:val="32"/>
        <w:numPr>
          <w:ilvl w:val="0"/>
          <w:numId w:val="7"/>
        </w:numPr>
      </w:pPr>
      <w:r>
        <w:rPr>
          <w:rFonts w:hint="eastAsia"/>
        </w:rPr>
        <w:t>采购类别：服务</w:t>
      </w:r>
    </w:p>
    <w:p>
      <w:pPr>
        <w:pStyle w:val="32"/>
      </w:pPr>
      <w:r>
        <w:rPr>
          <w:rFonts w:hint="eastAsia"/>
        </w:rPr>
        <w:t>采购方式：竞争性磋商</w:t>
      </w:r>
    </w:p>
    <w:p>
      <w:pPr>
        <w:pStyle w:val="32"/>
        <w:rPr>
          <w:rFonts w:hint="eastAsia"/>
        </w:rPr>
      </w:pPr>
      <w:r>
        <w:rPr>
          <w:rFonts w:hint="eastAsia"/>
        </w:rPr>
        <w:t>工作内容：根据湖北省全域国土综合整治领导小组办公室《关于申报省级全域国土综合整治项目的通知》（以下简称“通知”）要求，完成阳新县</w:t>
      </w:r>
      <w:r>
        <w:rPr>
          <w:rFonts w:hint="eastAsia"/>
          <w:snapToGrid w:val="0"/>
        </w:rPr>
        <w:t>黄颡口镇菖湖村、黄颡口、花果村、沙港村、尖峰村、凤凰村、泵站村等7个行政村</w:t>
      </w:r>
      <w:r>
        <w:rPr>
          <w:rFonts w:hint="eastAsia"/>
        </w:rPr>
        <w:t>全域国土综合整治项目实施方案的编制及申报工作，主要包括</w:t>
      </w:r>
      <w:r>
        <w:rPr>
          <w:rFonts w:hint="eastAsia"/>
          <w:lang w:eastAsia="zh-CN"/>
        </w:rPr>
        <w:t>：</w:t>
      </w:r>
    </w:p>
    <w:p>
      <w:pPr>
        <w:pStyle w:val="32"/>
        <w:numPr>
          <w:ilvl w:val="0"/>
          <w:numId w:val="0"/>
        </w:numPr>
        <w:ind w:left="420"/>
        <w:rPr>
          <w:rFonts w:hint="eastAsia"/>
        </w:rPr>
      </w:pPr>
      <w:r>
        <w:rPr>
          <w:rFonts w:hint="eastAsia"/>
        </w:rPr>
        <w:t>1）摄影测量</w:t>
      </w:r>
      <w:r>
        <w:rPr>
          <w:rFonts w:hint="eastAsia"/>
          <w:lang w:eastAsia="zh-CN"/>
        </w:rPr>
        <w:t>。</w:t>
      </w:r>
      <w:r>
        <w:rPr>
          <w:rFonts w:hint="eastAsia"/>
        </w:rPr>
        <w:t>1：2000正射影像图测量及倾斜摄影三维模型建立；</w:t>
      </w:r>
    </w:p>
    <w:p>
      <w:pPr>
        <w:pStyle w:val="32"/>
        <w:numPr>
          <w:ilvl w:val="0"/>
          <w:numId w:val="0"/>
        </w:numPr>
        <w:ind w:left="420"/>
      </w:pPr>
      <w:r>
        <w:rPr>
          <w:rFonts w:hint="eastAsia"/>
        </w:rPr>
        <w:t>2）实施方案编制</w:t>
      </w:r>
      <w:r>
        <w:rPr>
          <w:rFonts w:hint="eastAsia"/>
          <w:lang w:eastAsia="zh-CN"/>
        </w:rPr>
        <w:t>。</w:t>
      </w:r>
      <w:r>
        <w:rPr>
          <w:rFonts w:hint="eastAsia"/>
        </w:rPr>
        <w:t>按照《通知》要求、上位规划和项目特色，编制项目实施方案。</w:t>
      </w:r>
    </w:p>
    <w:p>
      <w:pPr>
        <w:pStyle w:val="32"/>
        <w:numPr>
          <w:ilvl w:val="0"/>
          <w:numId w:val="0"/>
        </w:numPr>
        <w:ind w:left="426" w:leftChars="0"/>
        <w:rPr>
          <w:color w:val="FF0000"/>
        </w:rPr>
      </w:pPr>
      <w:r>
        <w:rPr>
          <w:rFonts w:hint="eastAsia"/>
          <w:lang w:eastAsia="zh-CN"/>
        </w:rPr>
        <w:t>（</w:t>
      </w:r>
      <w:r>
        <w:rPr>
          <w:rFonts w:hint="eastAsia"/>
          <w:lang w:val="en-US" w:eastAsia="zh-CN"/>
        </w:rPr>
        <w:t>4</w:t>
      </w:r>
      <w:r>
        <w:rPr>
          <w:rFonts w:hint="eastAsia"/>
          <w:lang w:eastAsia="zh-CN"/>
        </w:rPr>
        <w:t>）</w:t>
      </w:r>
      <w:r>
        <w:rPr>
          <w:rFonts w:hint="eastAsia"/>
        </w:rPr>
        <w:t>简要技术要求：提交成果</w:t>
      </w:r>
      <w:r>
        <w:rPr>
          <w:rFonts w:hint="eastAsia"/>
          <w:snapToGrid w:val="0"/>
        </w:rPr>
        <w:t>顺利通过政府各级部门组织的评审，满足湖北省全域国土综合整治领导小组办公室关于全域国土综合整治项目的申报要求；</w:t>
      </w:r>
    </w:p>
    <w:p>
      <w:pPr>
        <w:pStyle w:val="32"/>
        <w:numPr>
          <w:ilvl w:val="0"/>
          <w:numId w:val="0"/>
        </w:numPr>
        <w:ind w:left="426" w:leftChars="0"/>
      </w:pPr>
      <w:r>
        <w:rPr>
          <w:rFonts w:hint="eastAsia"/>
          <w:lang w:eastAsia="zh-CN"/>
        </w:rPr>
        <w:t>（</w:t>
      </w:r>
      <w:r>
        <w:rPr>
          <w:rFonts w:hint="eastAsia"/>
          <w:lang w:val="en-US" w:eastAsia="zh-CN"/>
        </w:rPr>
        <w:t>5</w:t>
      </w:r>
      <w:r>
        <w:rPr>
          <w:rFonts w:hint="eastAsia"/>
          <w:lang w:eastAsia="zh-CN"/>
        </w:rPr>
        <w:t>）</w:t>
      </w:r>
      <w:r>
        <w:rPr>
          <w:rFonts w:hint="eastAsia"/>
        </w:rPr>
        <w:t>服务期：合同签订之日起</w:t>
      </w:r>
      <w:r>
        <w:rPr>
          <w:rFonts w:hint="eastAsia" w:ascii="宋体" w:hAnsi="宋体"/>
          <w:szCs w:val="24"/>
          <w:lang w:eastAsia="zh-CN"/>
        </w:rPr>
        <w:t>15个</w:t>
      </w:r>
      <w:r>
        <w:rPr>
          <w:rFonts w:hint="eastAsia" w:ascii="宋体" w:hAnsi="宋体"/>
          <w:szCs w:val="24"/>
        </w:rPr>
        <w:t>日历天</w:t>
      </w:r>
    </w:p>
    <w:p>
      <w:pPr>
        <w:pStyle w:val="34"/>
        <w:rPr>
          <w:rFonts w:hint="eastAsia"/>
        </w:rPr>
      </w:pPr>
      <w:bookmarkStart w:id="43" w:name="_Toc44351382"/>
      <w:r>
        <w:rPr>
          <w:rFonts w:hint="eastAsia"/>
        </w:rPr>
        <w:t>技术要求</w:t>
      </w:r>
      <w:bookmarkEnd w:id="43"/>
    </w:p>
    <w:p>
      <w:pPr>
        <w:pStyle w:val="41"/>
        <w:numPr>
          <w:ilvl w:val="1"/>
          <w:numId w:val="8"/>
        </w:numPr>
        <w:spacing w:before="144" w:after="24"/>
        <w:rPr>
          <w:rFonts w:hint="eastAsia"/>
        </w:rPr>
      </w:pPr>
      <w:r>
        <w:rPr>
          <w:rFonts w:hint="eastAsia"/>
          <w:lang w:eastAsia="zh-CN"/>
        </w:rPr>
        <w:t>摄影测量</w:t>
      </w:r>
      <w:r>
        <w:rPr>
          <w:rFonts w:hint="eastAsia"/>
        </w:rPr>
        <w:t>:</w:t>
      </w:r>
    </w:p>
    <w:p>
      <w:pPr>
        <w:pStyle w:val="32"/>
        <w:numPr>
          <w:ilvl w:val="0"/>
          <w:numId w:val="9"/>
        </w:numPr>
        <w:rPr>
          <w:rFonts w:hint="eastAsia"/>
        </w:rPr>
      </w:pPr>
      <w:r>
        <w:rPr>
          <w:rFonts w:hint="eastAsia"/>
          <w:snapToGrid w:val="0"/>
        </w:rPr>
        <w:t>1:2000正射影像图。对黄颡口镇菖湖村、黄颡口、花果村、沙港村、尖峰村、凤凰村、泵站村等7个行政村采用无人机航测技术，获取项目区1:2000正射影像图</w:t>
      </w:r>
      <w:r>
        <w:rPr>
          <w:rFonts w:hint="eastAsia"/>
          <w:snapToGrid w:val="0"/>
          <w:lang w:eastAsia="zh-CN"/>
        </w:rPr>
        <w:t>。</w:t>
      </w:r>
    </w:p>
    <w:p>
      <w:pPr>
        <w:pStyle w:val="32"/>
        <w:numPr>
          <w:ilvl w:val="0"/>
          <w:numId w:val="9"/>
        </w:numPr>
        <w:rPr>
          <w:rFonts w:hint="eastAsia"/>
        </w:rPr>
      </w:pPr>
      <w:r>
        <w:rPr>
          <w:rFonts w:hint="eastAsia"/>
          <w:snapToGrid w:val="0"/>
        </w:rPr>
        <w:t>倾斜</w:t>
      </w:r>
      <w:r>
        <w:rPr>
          <w:rFonts w:hint="eastAsia"/>
          <w:snapToGrid w:val="0"/>
          <w:lang w:eastAsia="zh-CN"/>
        </w:rPr>
        <w:t>摄影</w:t>
      </w:r>
      <w:r>
        <w:rPr>
          <w:rFonts w:hint="eastAsia"/>
          <w:snapToGrid w:val="0"/>
        </w:rPr>
        <w:t>三维模型</w:t>
      </w:r>
      <w:r>
        <w:rPr>
          <w:rFonts w:hint="eastAsia"/>
          <w:snapToGrid w:val="0"/>
          <w:lang w:eastAsia="zh-CN"/>
        </w:rPr>
        <w:t>。采用无人机倾斜摄影、三维建模技术建立项目区实景三维模型，倾斜摄影分辨率优于10cm。</w:t>
      </w:r>
    </w:p>
    <w:p>
      <w:pPr>
        <w:pStyle w:val="41"/>
        <w:numPr>
          <w:ilvl w:val="1"/>
          <w:numId w:val="8"/>
        </w:numPr>
        <w:spacing w:before="144" w:after="24"/>
        <w:rPr>
          <w:rFonts w:hint="eastAsia"/>
          <w:lang w:eastAsia="zh-CN"/>
        </w:rPr>
      </w:pPr>
      <w:r>
        <w:rPr>
          <w:rFonts w:hint="eastAsia"/>
          <w:lang w:eastAsia="zh-CN"/>
        </w:rPr>
        <w:t>实施方案编制：</w:t>
      </w:r>
    </w:p>
    <w:p>
      <w:pPr>
        <w:adjustRightInd w:val="0"/>
        <w:snapToGrid w:val="0"/>
        <w:spacing w:line="360" w:lineRule="auto"/>
        <w:outlineLvl w:val="0"/>
        <w:rPr>
          <w:rFonts w:ascii="Times New Roman" w:hAnsi="Times New Roman" w:cs="Times New Roman"/>
          <w:b/>
          <w:sz w:val="24"/>
          <w:szCs w:val="24"/>
        </w:rPr>
      </w:pPr>
      <w:r>
        <w:rPr>
          <w:rFonts w:hint="eastAsia"/>
          <w:snapToGrid w:val="0"/>
        </w:rPr>
        <w:t>按照湖北省全域国土综合整治领导小组办公室《关于申报省级全域国土综合整治项目的通知》（以下简称“通知”）要求，根据项目区实际情况、上位规划和项目区特色，结合县政府各部门的“十四五”项目安排，完成阳新县黄颡口镇七个村全域国土综合整治项目实施方案的编制工作，顺利通过相关部门的评审，满足湖北省全域国土综合整治领导小组办公室关于全域国土综合整治项目的申报要求</w:t>
      </w:r>
    </w:p>
    <w:p>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第四章  评审办法及评分标准</w:t>
      </w:r>
    </w:p>
    <w:p>
      <w:pPr>
        <w:pStyle w:val="34"/>
        <w:rPr>
          <w:rFonts w:hint="eastAsia"/>
        </w:rPr>
      </w:pPr>
      <w:bookmarkStart w:id="44" w:name="_Toc44351384"/>
      <w:r>
        <w:rPr>
          <w:rFonts w:hint="eastAsia"/>
        </w:rPr>
        <w:t>评审办法</w:t>
      </w:r>
      <w:bookmarkEnd w:id="44"/>
    </w:p>
    <w:p>
      <w:pPr>
        <w:pStyle w:val="33"/>
        <w:ind w:firstLine="480"/>
      </w:pPr>
      <w:r>
        <w:t>本次磋商评审采用综合评分法。</w:t>
      </w:r>
    </w:p>
    <w:p>
      <w:pPr>
        <w:pStyle w:val="34"/>
        <w:rPr>
          <w:rFonts w:hint="eastAsia"/>
        </w:rPr>
      </w:pPr>
      <w:bookmarkStart w:id="45" w:name="_Toc44351385"/>
      <w:r>
        <w:rPr>
          <w:rFonts w:hint="eastAsia"/>
        </w:rPr>
        <w:t>磋商小组</w:t>
      </w:r>
      <w:bookmarkEnd w:id="45"/>
    </w:p>
    <w:p>
      <w:pPr>
        <w:pStyle w:val="33"/>
        <w:ind w:firstLine="480"/>
        <w:rPr>
          <w:rFonts w:hint="eastAsia"/>
        </w:rPr>
      </w:pPr>
      <w:r>
        <w:rPr>
          <w:rFonts w:hint="eastAsia"/>
        </w:rPr>
        <w:t>1.磋商小组组成：</w:t>
      </w:r>
      <w:r>
        <w:rPr>
          <w:rFonts w:hint="eastAsia"/>
          <w:color w:val="FF0000"/>
        </w:rPr>
        <w:t>本次磋商小组由采购人依法组建，组成人数</w:t>
      </w:r>
      <w:r>
        <w:rPr>
          <w:color w:val="FF0000"/>
        </w:rPr>
        <w:t>3</w:t>
      </w:r>
      <w:r>
        <w:rPr>
          <w:rFonts w:hint="eastAsia"/>
          <w:color w:val="FF0000"/>
        </w:rPr>
        <w:t>人。</w:t>
      </w:r>
    </w:p>
    <w:p>
      <w:pPr>
        <w:pStyle w:val="33"/>
        <w:ind w:firstLine="480"/>
        <w:rPr>
          <w:rFonts w:hint="eastAsia"/>
        </w:rPr>
      </w:pPr>
      <w:r>
        <w:rPr>
          <w:rFonts w:hint="eastAsia"/>
        </w:rPr>
        <w:t>2.磋商小组组长：磋商小组设组长1名，由磋商小组全体成员共同推选产生。磋商小组组长负责组织磋商活动，与其他评委有同等表决权。</w:t>
      </w:r>
    </w:p>
    <w:p>
      <w:pPr>
        <w:pStyle w:val="33"/>
        <w:ind w:firstLine="480"/>
      </w:pPr>
      <w:r>
        <w:rPr>
          <w:rFonts w:hint="eastAsia"/>
        </w:rPr>
        <w:t>3.磋商小组负责评定工作，并根据磋商文件的要求对磋商文件进行审查、质疑、评估和比较。</w:t>
      </w:r>
    </w:p>
    <w:p>
      <w:pPr>
        <w:pStyle w:val="34"/>
      </w:pPr>
      <w:bookmarkStart w:id="46" w:name="_Toc44351386"/>
      <w:bookmarkStart w:id="47" w:name="_Toc2957314"/>
      <w:r>
        <w:rPr>
          <w:rFonts w:hint="eastAsia"/>
        </w:rPr>
        <w:t>资格性及符合性审查</w:t>
      </w:r>
      <w:bookmarkEnd w:id="46"/>
      <w:bookmarkEnd w:id="47"/>
    </w:p>
    <w:p>
      <w:pPr>
        <w:pStyle w:val="33"/>
        <w:ind w:firstLine="480"/>
      </w:pPr>
      <w:r>
        <w:rPr>
          <w:rFonts w:hint="eastAsia"/>
        </w:rPr>
        <w:t>1.资格性及符合性审查标准：详见附表一《初步评审表》。</w:t>
      </w:r>
    </w:p>
    <w:p>
      <w:pPr>
        <w:pStyle w:val="33"/>
        <w:ind w:firstLine="480"/>
      </w:pPr>
      <w:r>
        <w:rPr>
          <w:rFonts w:hint="eastAsia"/>
        </w:rPr>
        <w:t>2.未通过资格性审查的供应商不的进入磋商、技术、商务及价格评审环节。</w:t>
      </w:r>
    </w:p>
    <w:p>
      <w:pPr>
        <w:pStyle w:val="34"/>
        <w:rPr>
          <w:rFonts w:hint="eastAsia"/>
        </w:rPr>
      </w:pPr>
      <w:bookmarkStart w:id="48" w:name="_Toc44351387"/>
      <w:r>
        <w:rPr>
          <w:rFonts w:hint="eastAsia"/>
        </w:rPr>
        <w:t>技术商务磋商</w:t>
      </w:r>
      <w:bookmarkEnd w:id="48"/>
    </w:p>
    <w:p>
      <w:pPr>
        <w:pStyle w:val="33"/>
        <w:ind w:firstLine="480"/>
        <w:rPr>
          <w:rFonts w:hint="eastAsia"/>
        </w:rPr>
      </w:pPr>
      <w:r>
        <w:rPr>
          <w:rFonts w:hint="eastAsia"/>
        </w:rPr>
        <w:t>1.磋商小组邀请所有通过符合性审查的供应商参加磋商，以随机抽签的形式对供应商进行磋商排序。</w:t>
      </w:r>
    </w:p>
    <w:p>
      <w:pPr>
        <w:pStyle w:val="33"/>
        <w:ind w:firstLine="480"/>
        <w:rPr>
          <w:rFonts w:hint="eastAsia"/>
        </w:rPr>
      </w:pPr>
      <w:r>
        <w:rPr>
          <w:rFonts w:hint="eastAsia"/>
        </w:rPr>
        <w:t>2.磋商小组与供应商应围绕技术、商务、合同条款等内容分别进行一轮或多轮的磋商。在磋商过程中，磋商小组应当严格遵循保密原则，未经供应商同意不得向任何人透露当事人技术、价格和其他重要信息。</w:t>
      </w:r>
    </w:p>
    <w:p>
      <w:pPr>
        <w:pStyle w:val="33"/>
        <w:ind w:firstLine="480"/>
      </w:pPr>
      <w:r>
        <w:rPr>
          <w:rFonts w:hint="eastAsia"/>
        </w:rPr>
        <w:t>3.磋商文件的修正：磋商小组调整或修改采购需求内容时，应取得磋商小组的一致同意，并以书面形式通知所有参加磋商的供应商。但任何形式的决定须以符合公平、公正原则和有利于项目的顺利实施为前提。</w:t>
      </w:r>
    </w:p>
    <w:p>
      <w:pPr>
        <w:pStyle w:val="34"/>
        <w:sectPr>
          <w:pgSz w:w="11906" w:h="16838"/>
          <w:pgMar w:top="1418" w:right="1418" w:bottom="1418" w:left="1418" w:header="851" w:footer="1134" w:gutter="0"/>
          <w:cols w:space="720" w:num="1"/>
          <w:docGrid w:linePitch="579" w:charSpace="1229"/>
        </w:sectPr>
      </w:pPr>
    </w:p>
    <w:p>
      <w:pPr>
        <w:pStyle w:val="34"/>
        <w:rPr>
          <w:rFonts w:hint="eastAsia"/>
        </w:rPr>
      </w:pPr>
      <w:bookmarkStart w:id="49" w:name="_Toc44351388"/>
      <w:r>
        <w:rPr>
          <w:rFonts w:hint="eastAsia"/>
        </w:rPr>
        <w:t>技术</w:t>
      </w:r>
      <w:r>
        <w:t>、商务及</w:t>
      </w:r>
      <w:r>
        <w:rPr>
          <w:rFonts w:hint="eastAsia"/>
        </w:rPr>
        <w:t>价格评审</w:t>
      </w:r>
      <w:bookmarkEnd w:id="49"/>
    </w:p>
    <w:p>
      <w:pPr>
        <w:pStyle w:val="33"/>
        <w:ind w:firstLine="480"/>
        <w:rPr>
          <w:rFonts w:hint="eastAsia"/>
        </w:rPr>
      </w:pPr>
      <w:r>
        <w:rPr>
          <w:rFonts w:hint="eastAsia"/>
        </w:rPr>
        <w:t>1、评分总值最高为</w:t>
      </w:r>
      <w:r>
        <w:t>100</w:t>
      </w:r>
      <w:r>
        <w:rPr>
          <w:rFonts w:hint="eastAsia"/>
        </w:rPr>
        <w:t>分，评分分值（权重）分配如下：</w:t>
      </w:r>
    </w:p>
    <w:tbl>
      <w:tblPr>
        <w:tblStyle w:val="10"/>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576"/>
        <w:gridCol w:w="2150"/>
        <w:gridCol w:w="2150"/>
        <w:gridCol w:w="197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jc w:val="center"/>
        </w:trPr>
        <w:tc>
          <w:tcPr>
            <w:tcW w:w="15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Cs w:val="21"/>
              </w:rPr>
            </w:pPr>
            <w:r>
              <w:rPr>
                <w:szCs w:val="21"/>
              </w:rPr>
              <w:t>评分项目</w:t>
            </w:r>
          </w:p>
        </w:tc>
        <w:tc>
          <w:tcPr>
            <w:tcW w:w="21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Cs w:val="21"/>
              </w:rPr>
            </w:pPr>
            <w:r>
              <w:rPr>
                <w:rFonts w:hint="eastAsia"/>
                <w:szCs w:val="21"/>
              </w:rPr>
              <w:t>商务评分</w:t>
            </w:r>
          </w:p>
        </w:tc>
        <w:tc>
          <w:tcPr>
            <w:tcW w:w="21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Cs w:val="21"/>
              </w:rPr>
            </w:pPr>
            <w:r>
              <w:rPr>
                <w:szCs w:val="21"/>
              </w:rPr>
              <w:t>技术</w:t>
            </w:r>
            <w:r>
              <w:rPr>
                <w:rFonts w:hint="eastAsia"/>
                <w:szCs w:val="21"/>
              </w:rPr>
              <w:t>评分</w:t>
            </w:r>
          </w:p>
        </w:tc>
        <w:tc>
          <w:tcPr>
            <w:tcW w:w="19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Cs w:val="21"/>
              </w:rPr>
            </w:pPr>
            <w:r>
              <w:rPr>
                <w:szCs w:val="21"/>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1" w:hRule="atLeast"/>
          <w:jc w:val="center"/>
        </w:trPr>
        <w:tc>
          <w:tcPr>
            <w:tcW w:w="15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Cs w:val="21"/>
              </w:rPr>
            </w:pPr>
            <w:r>
              <w:rPr>
                <w:rFonts w:hint="eastAsia"/>
                <w:szCs w:val="21"/>
              </w:rPr>
              <w:t>权重</w:t>
            </w:r>
          </w:p>
        </w:tc>
        <w:tc>
          <w:tcPr>
            <w:tcW w:w="21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cs="宋体"/>
                <w:b/>
                <w:szCs w:val="21"/>
              </w:rPr>
            </w:pPr>
            <w:r>
              <w:rPr>
                <w:rFonts w:hint="eastAsia"/>
                <w:b/>
                <w:szCs w:val="21"/>
              </w:rPr>
              <w:t>50%</w:t>
            </w:r>
          </w:p>
        </w:tc>
        <w:tc>
          <w:tcPr>
            <w:tcW w:w="21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cs="宋体"/>
                <w:b/>
                <w:szCs w:val="21"/>
              </w:rPr>
            </w:pPr>
            <w:r>
              <w:rPr>
                <w:rFonts w:hint="eastAsia"/>
                <w:b/>
                <w:szCs w:val="21"/>
              </w:rPr>
              <w:t>40%</w:t>
            </w:r>
          </w:p>
        </w:tc>
        <w:tc>
          <w:tcPr>
            <w:tcW w:w="19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b/>
                <w:szCs w:val="21"/>
              </w:rPr>
            </w:pPr>
            <w:r>
              <w:rPr>
                <w:rFonts w:hint="eastAsia"/>
                <w:b/>
                <w:szCs w:val="21"/>
              </w:rPr>
              <w:t>10%</w:t>
            </w:r>
          </w:p>
        </w:tc>
      </w:tr>
    </w:tbl>
    <w:p>
      <w:pPr>
        <w:pStyle w:val="33"/>
        <w:ind w:firstLine="480"/>
        <w:rPr>
          <w:rFonts w:hint="eastAsia"/>
        </w:rPr>
      </w:pPr>
      <w:r>
        <w:rPr>
          <w:rFonts w:hint="eastAsia"/>
        </w:rPr>
        <w:t>2、商务评审（</w:t>
      </w:r>
      <w:r>
        <w:rPr>
          <w:rFonts w:hint="eastAsia"/>
          <w:lang w:eastAsia="zh-CN"/>
        </w:rPr>
        <w:t>50</w:t>
      </w:r>
      <w:r>
        <w:rPr>
          <w:rFonts w:hint="eastAsia"/>
        </w:rPr>
        <w:t>%）</w:t>
      </w:r>
    </w:p>
    <w:p>
      <w:pPr>
        <w:pStyle w:val="33"/>
        <w:ind w:firstLine="480"/>
        <w:rPr>
          <w:rFonts w:hint="eastAsia"/>
        </w:rPr>
      </w:pPr>
      <w:r>
        <w:rPr>
          <w:rFonts w:hint="eastAsia"/>
        </w:rPr>
        <w:t>磋商小组只对符合性检查合格的响应文件进行商务评审，并依据附表</w:t>
      </w:r>
      <w:r>
        <w:rPr>
          <w:rFonts w:hint="eastAsia"/>
          <w:lang w:eastAsia="zh-CN"/>
        </w:rPr>
        <w:t>二</w:t>
      </w:r>
      <w:r>
        <w:rPr>
          <w:rFonts w:hint="eastAsia"/>
        </w:rPr>
        <w:t>：《详细评审表》中的商务部分进行评分。</w:t>
      </w:r>
    </w:p>
    <w:p>
      <w:pPr>
        <w:pStyle w:val="33"/>
        <w:spacing w:before="120" w:beforeLines="50"/>
        <w:ind w:firstLine="480"/>
        <w:rPr>
          <w:rFonts w:hint="eastAsia"/>
        </w:rPr>
      </w:pPr>
      <w:r>
        <w:rPr>
          <w:rFonts w:hint="eastAsia"/>
        </w:rPr>
        <w:t>3、技术评审（</w:t>
      </w:r>
      <w:r>
        <w:rPr>
          <w:rFonts w:hint="eastAsia"/>
          <w:lang w:eastAsia="zh-CN"/>
        </w:rPr>
        <w:t>40</w:t>
      </w:r>
      <w:r>
        <w:rPr>
          <w:rFonts w:hint="eastAsia"/>
        </w:rPr>
        <w:t>%）</w:t>
      </w:r>
    </w:p>
    <w:p>
      <w:pPr>
        <w:pStyle w:val="33"/>
        <w:ind w:firstLine="480"/>
        <w:rPr>
          <w:rFonts w:hint="eastAsia"/>
        </w:rPr>
      </w:pPr>
      <w:r>
        <w:rPr>
          <w:rFonts w:hint="eastAsia"/>
        </w:rPr>
        <w:t>磋商小组只对符合性检查合格的响应文件进行技术评审，并依据附表</w:t>
      </w:r>
      <w:r>
        <w:rPr>
          <w:rFonts w:hint="eastAsia"/>
          <w:lang w:eastAsia="zh-CN"/>
        </w:rPr>
        <w:t>二</w:t>
      </w:r>
      <w:r>
        <w:rPr>
          <w:rFonts w:hint="eastAsia"/>
        </w:rPr>
        <w:t>：《详细评审表》中的技术部分进行评分。</w:t>
      </w:r>
    </w:p>
    <w:p>
      <w:pPr>
        <w:pStyle w:val="33"/>
        <w:ind w:firstLine="480"/>
        <w:rPr>
          <w:rFonts w:hint="eastAsia"/>
        </w:rPr>
      </w:pPr>
      <w:r>
        <w:rPr>
          <w:rFonts w:hint="eastAsia"/>
        </w:rPr>
        <w:t>4、价格评审（10%）</w:t>
      </w:r>
    </w:p>
    <w:p>
      <w:pPr>
        <w:pStyle w:val="33"/>
        <w:ind w:firstLine="480"/>
        <w:rPr>
          <w:rFonts w:hint="eastAsia"/>
        </w:rPr>
      </w:pPr>
      <w:r>
        <w:rPr>
          <w:rFonts w:hint="eastAsia"/>
        </w:rPr>
        <w:t>（1）最终报价：所有作出实质性响应的有效供应商应在规定的时间内提交最终报价（最终报价时间视磋商进程由磋商小组决定）。</w:t>
      </w:r>
    </w:p>
    <w:p>
      <w:pPr>
        <w:pStyle w:val="33"/>
        <w:ind w:firstLine="480"/>
        <w:rPr>
          <w:rFonts w:hint="eastAsia"/>
        </w:rPr>
      </w:pPr>
      <w:r>
        <w:rPr>
          <w:rFonts w:hint="eastAsia"/>
        </w:rPr>
        <w:t>（2）核实价的确定：磋商小组对各供应商的最终报价按下述原则进行校核、评审或作出必要的修正后的价格为核实价，如果出现多种处理原则所产生的结果不一致的情况，以最高的修正价作为核实价。</w:t>
      </w:r>
    </w:p>
    <w:p>
      <w:pPr>
        <w:pStyle w:val="33"/>
        <w:ind w:firstLine="480"/>
        <w:rPr>
          <w:rFonts w:hint="eastAsia"/>
        </w:rPr>
      </w:pPr>
      <w:r>
        <w:rPr>
          <w:rFonts w:hint="eastAsia"/>
        </w:rPr>
        <w:t>①大写金额与小写金额不一致的，以大写金额为准；</w:t>
      </w:r>
    </w:p>
    <w:p>
      <w:pPr>
        <w:pStyle w:val="33"/>
        <w:ind w:firstLine="480"/>
        <w:rPr>
          <w:rFonts w:hint="eastAsia"/>
        </w:rPr>
      </w:pPr>
      <w:r>
        <w:rPr>
          <w:rFonts w:hint="eastAsia"/>
        </w:rPr>
        <w:t>②总价金额与按单价汇总金额不一致的，以单价金额计算结果为准；</w:t>
      </w:r>
    </w:p>
    <w:p>
      <w:pPr>
        <w:pStyle w:val="33"/>
        <w:ind w:firstLine="480"/>
        <w:rPr>
          <w:rFonts w:hint="eastAsia"/>
        </w:rPr>
      </w:pPr>
      <w:r>
        <w:rPr>
          <w:rFonts w:hint="eastAsia"/>
        </w:rPr>
        <w:t>③单价金额小数点有明显错位的，应以总价为准，并修改单价；</w:t>
      </w:r>
    </w:p>
    <w:p>
      <w:pPr>
        <w:pStyle w:val="33"/>
        <w:ind w:firstLine="480"/>
        <w:rPr>
          <w:rFonts w:hint="eastAsia"/>
        </w:rPr>
      </w:pPr>
      <w:r>
        <w:rPr>
          <w:rFonts w:hint="eastAsia"/>
        </w:rPr>
        <w:t>④修正价后的价格作为核实价。</w:t>
      </w:r>
    </w:p>
    <w:p>
      <w:pPr>
        <w:pStyle w:val="33"/>
        <w:ind w:firstLine="480"/>
        <w:rPr>
          <w:rFonts w:hint="eastAsia"/>
        </w:rPr>
      </w:pPr>
      <w:r>
        <w:rPr>
          <w:rFonts w:hint="eastAsia"/>
        </w:rPr>
        <w:t>（</w:t>
      </w:r>
      <w:r>
        <w:t>3</w:t>
      </w:r>
      <w:r>
        <w:rPr>
          <w:rFonts w:hint="eastAsia"/>
        </w:rPr>
        <w:t>）计算价格评分：详见详细评审表</w:t>
      </w:r>
    </w:p>
    <w:p>
      <w:pPr>
        <w:pStyle w:val="33"/>
        <w:ind w:firstLine="480"/>
        <w:rPr>
          <w:rFonts w:hint="eastAsia"/>
        </w:rPr>
      </w:pPr>
      <w:r>
        <w:rPr>
          <w:rFonts w:hint="eastAsia"/>
        </w:rPr>
        <w:t>5、评审总得分汇总</w:t>
      </w:r>
    </w:p>
    <w:p>
      <w:pPr>
        <w:pStyle w:val="33"/>
        <w:ind w:firstLine="480"/>
        <w:rPr>
          <w:rFonts w:hint="eastAsia"/>
        </w:rPr>
      </w:pPr>
      <w:r>
        <w:rPr>
          <w:rFonts w:hint="eastAsia"/>
        </w:rPr>
        <w:t>各磋商小组成员的评分的算术平均值即为该供应商的技术评分或商务评分。然后将技术评分、商务评分和价格评分相加得出评审总得分（评审总得分分值按四舍五入原则精确到小数点后两位）。</w:t>
      </w:r>
    </w:p>
    <w:p>
      <w:pPr>
        <w:pStyle w:val="34"/>
        <w:rPr>
          <w:rFonts w:hint="eastAsia"/>
        </w:rPr>
      </w:pPr>
      <w:bookmarkStart w:id="50" w:name="_Toc44351389"/>
      <w:r>
        <w:rPr>
          <w:rFonts w:hint="eastAsia"/>
        </w:rPr>
        <w:t>评定结果</w:t>
      </w:r>
      <w:bookmarkEnd w:id="50"/>
    </w:p>
    <w:p>
      <w:pPr>
        <w:pStyle w:val="33"/>
        <w:ind w:firstLine="480"/>
        <w:sectPr>
          <w:pgSz w:w="11906" w:h="16838"/>
          <w:pgMar w:top="1418" w:right="1418" w:bottom="1418" w:left="1418" w:header="851" w:footer="1134" w:gutter="0"/>
          <w:cols w:space="720" w:num="1"/>
          <w:docGrid w:linePitch="579" w:charSpace="1229"/>
        </w:sectPr>
      </w:pPr>
      <w:r>
        <w:rPr>
          <w:rFonts w:hint="eastAsia"/>
        </w:rPr>
        <w:t>推荐成交候选响应供应商名单：本项目推荐三名成交候选人。将各有效响应供应商按其评审总得分由高到低顺序排列。评审总得分相同的，按下列顺序比较确定：（1）最终报价（由低到高）；（2）技术评分（由高到低）。如以上都相同的，名次由磋商小组抽签确定。排名第一的响应供应商为第一成交候选人，排名第二的响应供应商为第二成交候选人，以此类推。</w:t>
      </w:r>
    </w:p>
    <w:p>
      <w:pPr>
        <w:pStyle w:val="35"/>
        <w:spacing w:before="36" w:after="36"/>
        <w:ind w:firstLine="0" w:firstLineChars="0"/>
        <w:outlineLvl w:val="2"/>
        <w:rPr>
          <w:rFonts w:hint="eastAsia"/>
          <w:b/>
        </w:rPr>
      </w:pPr>
      <w:r>
        <w:rPr>
          <w:rFonts w:hint="eastAsia"/>
          <w:b/>
        </w:rPr>
        <w:t>附表一</w:t>
      </w:r>
      <w:r>
        <w:rPr>
          <w:rFonts w:hint="eastAsia"/>
          <w:b/>
          <w:lang w:val="en-US" w:eastAsia="zh-CN"/>
        </w:rPr>
        <w:t xml:space="preserve">  </w:t>
      </w:r>
      <w:r>
        <w:rPr>
          <w:rFonts w:hint="eastAsia"/>
          <w:b/>
        </w:rPr>
        <w:t>资格性检查和符合性检查内容及标准</w:t>
      </w:r>
    </w:p>
    <w:tbl>
      <w:tblPr>
        <w:tblStyle w:val="10"/>
        <w:tblW w:w="5291"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02"/>
        <w:gridCol w:w="748"/>
        <w:gridCol w:w="2587"/>
        <w:gridCol w:w="557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54" w:hRule="atLeast"/>
        </w:trPr>
        <w:tc>
          <w:tcPr>
            <w:tcW w:w="754" w:type="pct"/>
            <w:gridSpan w:val="2"/>
            <w:tcBorders>
              <w:top w:val="outset" w:color="auto" w:sz="6" w:space="0"/>
              <w:left w:val="outset" w:color="auto" w:sz="6" w:space="0"/>
              <w:bottom w:val="outset" w:color="auto" w:sz="6" w:space="0"/>
              <w:right w:val="outset" w:color="auto" w:sz="6" w:space="0"/>
            </w:tcBorders>
            <w:noWrap w:val="0"/>
            <w:vAlign w:val="center"/>
          </w:tcPr>
          <w:p>
            <w:pPr>
              <w:jc w:val="center"/>
            </w:pPr>
            <w:r>
              <w:t>序号</w:t>
            </w:r>
          </w:p>
        </w:tc>
        <w:tc>
          <w:tcPr>
            <w:tcW w:w="1345" w:type="pct"/>
            <w:tcBorders>
              <w:top w:val="outset" w:color="auto" w:sz="6" w:space="0"/>
              <w:left w:val="outset" w:color="auto" w:sz="6" w:space="0"/>
              <w:bottom w:val="outset" w:color="auto" w:sz="6" w:space="0"/>
              <w:right w:val="outset" w:color="auto" w:sz="6" w:space="0"/>
            </w:tcBorders>
            <w:noWrap w:val="0"/>
            <w:vAlign w:val="center"/>
          </w:tcPr>
          <w:p>
            <w:pPr>
              <w:jc w:val="center"/>
            </w:pPr>
            <w:r>
              <w:t>检查内容</w:t>
            </w:r>
          </w:p>
        </w:tc>
        <w:tc>
          <w:tcPr>
            <w:tcW w:w="2900" w:type="pct"/>
            <w:tcBorders>
              <w:top w:val="outset" w:color="auto" w:sz="6" w:space="0"/>
              <w:left w:val="outset" w:color="auto" w:sz="6" w:space="0"/>
              <w:bottom w:val="outset" w:color="auto" w:sz="6" w:space="0"/>
              <w:right w:val="outset" w:color="auto" w:sz="6" w:space="0"/>
            </w:tcBorders>
            <w:noWrap w:val="0"/>
            <w:vAlign w:val="center"/>
          </w:tcPr>
          <w:p>
            <w:pPr>
              <w:jc w:val="center"/>
            </w:pPr>
            <w: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365" w:type="pct"/>
            <w:vMerge w:val="restart"/>
            <w:tcBorders>
              <w:top w:val="outset" w:color="auto" w:sz="6" w:space="0"/>
              <w:left w:val="outset" w:color="auto" w:sz="6" w:space="0"/>
              <w:bottom w:val="outset" w:color="auto" w:sz="6" w:space="0"/>
              <w:right w:val="outset" w:color="auto" w:sz="6" w:space="0"/>
            </w:tcBorders>
            <w:noWrap w:val="0"/>
            <w:vAlign w:val="center"/>
          </w:tcPr>
          <w:p>
            <w:r>
              <w:t>1</w:t>
            </w:r>
          </w:p>
        </w:tc>
        <w:tc>
          <w:tcPr>
            <w:tcW w:w="389" w:type="pct"/>
            <w:vMerge w:val="restart"/>
            <w:tcBorders>
              <w:top w:val="outset" w:color="auto" w:sz="6" w:space="0"/>
              <w:left w:val="outset" w:color="auto" w:sz="6" w:space="0"/>
              <w:bottom w:val="outset" w:color="auto" w:sz="6" w:space="0"/>
              <w:right w:val="outset" w:color="auto" w:sz="6" w:space="0"/>
            </w:tcBorders>
            <w:noWrap w:val="0"/>
            <w:vAlign w:val="center"/>
          </w:tcPr>
          <w:p>
            <w:r>
              <w:t>资格性检查</w:t>
            </w:r>
          </w:p>
        </w:tc>
        <w:tc>
          <w:tcPr>
            <w:tcW w:w="1345" w:type="pct"/>
            <w:tcBorders>
              <w:top w:val="outset" w:color="auto" w:sz="6" w:space="0"/>
              <w:left w:val="outset" w:color="auto" w:sz="6" w:space="0"/>
              <w:bottom w:val="outset" w:color="auto" w:sz="6" w:space="0"/>
              <w:right w:val="outset" w:color="auto" w:sz="6" w:space="0"/>
            </w:tcBorders>
            <w:noWrap w:val="0"/>
            <w:vAlign w:val="center"/>
          </w:tcPr>
          <w:p>
            <w:r>
              <w:t>具有独立承担民事责任的能力</w:t>
            </w:r>
          </w:p>
        </w:tc>
        <w:tc>
          <w:tcPr>
            <w:tcW w:w="2900" w:type="pct"/>
            <w:tcBorders>
              <w:top w:val="outset" w:color="auto" w:sz="6" w:space="0"/>
              <w:left w:val="outset" w:color="auto" w:sz="6" w:space="0"/>
              <w:bottom w:val="outset" w:color="auto" w:sz="6" w:space="0"/>
              <w:right w:val="outset" w:color="auto" w:sz="6" w:space="0"/>
            </w:tcBorders>
            <w:noWrap w:val="0"/>
            <w:vAlign w:val="center"/>
          </w:tcPr>
          <w:p>
            <w:r>
              <w:t>具有有效的营业执照或事业单位法人证书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77"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具有良好的商业信誉和健全的财务会计制度</w:t>
            </w:r>
          </w:p>
        </w:tc>
        <w:tc>
          <w:tcPr>
            <w:tcW w:w="2900" w:type="pct"/>
            <w:tcBorders>
              <w:top w:val="outset" w:color="auto" w:sz="6" w:space="0"/>
              <w:left w:val="outset" w:color="auto" w:sz="6" w:space="0"/>
              <w:bottom w:val="outset" w:color="auto" w:sz="6" w:space="0"/>
              <w:right w:val="outset" w:color="auto" w:sz="6" w:space="0"/>
            </w:tcBorders>
            <w:noWrap w:val="0"/>
            <w:vAlign w:val="center"/>
          </w:tcPr>
          <w:p>
            <w:r>
              <w:rPr>
                <w:rFonts w:hint="eastAsia"/>
              </w:rPr>
              <w:t>提供</w:t>
            </w:r>
            <w:r>
              <w:t>上一年度财务状况报告</w:t>
            </w:r>
            <w:r>
              <w:rPr>
                <w:rFonts w:hint="eastAsia"/>
              </w:rPr>
              <w:t>彩色扫描</w:t>
            </w:r>
            <w:r>
              <w:t>件（本年度新成立公司提供响应文件递交截止时间前一个月财务状况报告</w:t>
            </w:r>
            <w:r>
              <w:rPr>
                <w:rFonts w:hint="eastAsia"/>
              </w:rPr>
              <w:t>彩色扫描</w:t>
            </w:r>
            <w:r>
              <w:t xml:space="preserve">件），合法有效。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1"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具有履行合同所必需的设备和专业技术能力</w:t>
            </w:r>
          </w:p>
        </w:tc>
        <w:tc>
          <w:tcPr>
            <w:tcW w:w="2900" w:type="pct"/>
            <w:tcBorders>
              <w:top w:val="outset" w:color="auto" w:sz="6" w:space="0"/>
              <w:left w:val="outset" w:color="auto" w:sz="6" w:space="0"/>
              <w:bottom w:val="outset" w:color="auto" w:sz="6" w:space="0"/>
              <w:right w:val="outset" w:color="auto" w:sz="6" w:space="0"/>
            </w:tcBorders>
            <w:noWrap w:val="0"/>
            <w:vAlign w:val="center"/>
          </w:tcPr>
          <w:p>
            <w:r>
              <w:t>提供书面声明或相关证明材料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6"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有依法缴纳税收和社会保障金的良好记录</w:t>
            </w:r>
          </w:p>
        </w:tc>
        <w:tc>
          <w:tcPr>
            <w:tcW w:w="2900" w:type="pct"/>
            <w:tcBorders>
              <w:top w:val="outset" w:color="auto" w:sz="6" w:space="0"/>
              <w:left w:val="outset" w:color="auto" w:sz="6" w:space="0"/>
              <w:bottom w:val="outset" w:color="auto" w:sz="6" w:space="0"/>
              <w:right w:val="outset" w:color="auto" w:sz="6" w:space="0"/>
            </w:tcBorders>
            <w:noWrap w:val="0"/>
            <w:vAlign w:val="center"/>
          </w:tcPr>
          <w:p>
            <w:r>
              <w:t>提供近期的税务和社会保障缴纳证明材料原件的</w:t>
            </w:r>
            <w:r>
              <w:rPr>
                <w:rFonts w:hint="eastAsia"/>
              </w:rPr>
              <w:t>彩色</w:t>
            </w:r>
            <w:r>
              <w:t xml:space="preserve">扫描件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12"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主体信用记录</w:t>
            </w:r>
          </w:p>
        </w:tc>
        <w:tc>
          <w:tcPr>
            <w:tcW w:w="2900" w:type="pct"/>
            <w:tcBorders>
              <w:top w:val="outset" w:color="auto" w:sz="6" w:space="0"/>
              <w:left w:val="outset" w:color="auto" w:sz="6" w:space="0"/>
              <w:bottom w:val="outset" w:color="auto" w:sz="6" w:space="0"/>
              <w:right w:val="outset" w:color="auto" w:sz="6" w:space="0"/>
            </w:tcBorders>
            <w:noWrap w:val="0"/>
            <w:vAlign w:val="center"/>
          </w:tcPr>
          <w:p>
            <w:r>
              <w:t>通过“信用中国”网站 （www.cred</w:t>
            </w:r>
            <w:r>
              <w:rPr>
                <w:rFonts w:hint="eastAsia"/>
              </w:rPr>
              <w:t>i</w:t>
            </w:r>
            <w:r>
              <w:t xml:space="preserve">tchina.gov .cn）、中国政府采购网（www. ccgp.gov. cn）等渠道查询的主体信用记录，未被列入信用记录失信被执行人 、重大税收违法案件当事人名单、政府采购严重违法失信行为记录名单。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0"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right w:val="outset" w:color="auto" w:sz="6" w:space="0"/>
            </w:tcBorders>
            <w:noWrap w:val="0"/>
            <w:vAlign w:val="center"/>
          </w:tcPr>
          <w:p>
            <w:r>
              <w:t>资质要求</w:t>
            </w:r>
          </w:p>
        </w:tc>
        <w:tc>
          <w:tcPr>
            <w:tcW w:w="2900" w:type="pct"/>
            <w:tcBorders>
              <w:top w:val="outset" w:color="auto" w:sz="6" w:space="0"/>
              <w:left w:val="outset" w:color="auto" w:sz="6" w:space="0"/>
              <w:right w:val="outset" w:color="auto" w:sz="6" w:space="0"/>
            </w:tcBorders>
            <w:noWrap w:val="0"/>
            <w:vAlign w:val="center"/>
          </w:tcPr>
          <w:p>
            <w:pPr>
              <w:pStyle w:val="36"/>
              <w:numPr>
                <w:ilvl w:val="0"/>
                <w:numId w:val="0"/>
              </w:numPr>
              <w:spacing w:line="240" w:lineRule="auto"/>
              <w:jc w:val="left"/>
              <w:outlineLvl w:val="9"/>
              <w:rPr>
                <w:rFonts w:hint="eastAsia" w:ascii="宋体" w:hAnsi="宋体"/>
                <w:kern w:val="0"/>
                <w:sz w:val="21"/>
                <w:szCs w:val="22"/>
                <w:lang w:val="en-US" w:eastAsia="zh-CN"/>
              </w:rPr>
            </w:pPr>
            <w:r>
              <w:rPr>
                <w:rFonts w:hint="eastAsia" w:ascii="宋体" w:hAnsi="宋体"/>
                <w:kern w:val="0"/>
                <w:sz w:val="21"/>
                <w:szCs w:val="22"/>
                <w:lang w:val="en-US" w:eastAsia="zh-CN"/>
              </w:rPr>
              <w:t>供应商具备土地规划乙级及以上资质，如因国家主管部门原因不在有效期，提供相关部门证明材料复印件。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0"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right w:val="outset" w:color="auto" w:sz="6" w:space="0"/>
            </w:tcBorders>
            <w:noWrap w:val="0"/>
            <w:vAlign w:val="center"/>
          </w:tcPr>
          <w:p>
            <w:pPr>
              <w:autoSpaceDE w:val="0"/>
              <w:autoSpaceDN w:val="0"/>
              <w:adjustRightInd w:val="0"/>
              <w:snapToGrid w:val="0"/>
              <w:jc w:val="center"/>
              <w:rPr>
                <w:rFonts w:ascii="宋体" w:hAnsi="宋体"/>
                <w:kern w:val="0"/>
                <w:szCs w:val="22"/>
              </w:rPr>
            </w:pPr>
            <w:r>
              <w:rPr>
                <w:rFonts w:hint="eastAsia" w:ascii="宋体" w:hAnsi="宋体"/>
                <w:kern w:val="0"/>
                <w:szCs w:val="22"/>
              </w:rPr>
              <w:t>企业业绩</w:t>
            </w:r>
          </w:p>
        </w:tc>
        <w:tc>
          <w:tcPr>
            <w:tcW w:w="2900" w:type="pct"/>
            <w:tcBorders>
              <w:top w:val="outset" w:color="auto" w:sz="6" w:space="0"/>
              <w:left w:val="outset" w:color="auto" w:sz="6" w:space="0"/>
              <w:right w:val="outset" w:color="auto" w:sz="6" w:space="0"/>
            </w:tcBorders>
            <w:noWrap w:val="0"/>
            <w:vAlign w:val="center"/>
          </w:tcPr>
          <w:p>
            <w:pPr>
              <w:pStyle w:val="36"/>
              <w:numPr>
                <w:ilvl w:val="0"/>
                <w:numId w:val="0"/>
              </w:numPr>
              <w:spacing w:line="240" w:lineRule="auto"/>
              <w:jc w:val="left"/>
              <w:outlineLvl w:val="9"/>
              <w:rPr>
                <w:rFonts w:ascii="宋体" w:hAnsi="宋体"/>
                <w:kern w:val="0"/>
                <w:sz w:val="21"/>
                <w:szCs w:val="22"/>
                <w:lang w:val="en-US" w:eastAsia="zh-CN"/>
              </w:rPr>
            </w:pPr>
            <w:r>
              <w:rPr>
                <w:rFonts w:hint="eastAsia" w:ascii="宋体" w:hAnsi="宋体"/>
                <w:kern w:val="0"/>
                <w:sz w:val="21"/>
                <w:szCs w:val="22"/>
                <w:lang w:val="en-US" w:eastAsia="zh-CN"/>
              </w:rPr>
              <w:t>供应商自2018年1月1日起具有一项类似项目业绩（提供合同复印件并加盖公章，时间以合同签定时间为准）；</w:t>
            </w:r>
            <w:r>
              <w:rPr>
                <w:rFonts w:ascii="宋体" w:hAnsi="宋体"/>
                <w:kern w:val="0"/>
                <w:sz w:val="21"/>
                <w:szCs w:val="22"/>
                <w:lang w:val="en-US" w:eastAsia="zh-CN"/>
              </w:rP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36"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联合体磋商</w:t>
            </w:r>
          </w:p>
        </w:tc>
        <w:tc>
          <w:tcPr>
            <w:tcW w:w="2900" w:type="pct"/>
            <w:tcBorders>
              <w:top w:val="outset" w:color="auto" w:sz="6" w:space="0"/>
              <w:left w:val="outset" w:color="auto" w:sz="6" w:space="0"/>
              <w:bottom w:val="outset" w:color="auto" w:sz="6" w:space="0"/>
              <w:right w:val="outset" w:color="auto" w:sz="6" w:space="0"/>
            </w:tcBorders>
            <w:noWrap w:val="0"/>
            <w:vAlign w:val="center"/>
          </w:tcPr>
          <w:p>
            <w:r>
              <w:t>本次采购不接受联合体磋商。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8" w:hRule="atLeast"/>
        </w:trPr>
        <w:tc>
          <w:tcPr>
            <w:tcW w:w="365" w:type="pct"/>
            <w:vMerge w:val="restart"/>
            <w:tcBorders>
              <w:top w:val="outset" w:color="auto" w:sz="6" w:space="0"/>
              <w:left w:val="outset" w:color="auto" w:sz="6" w:space="0"/>
              <w:bottom w:val="outset" w:color="auto" w:sz="6" w:space="0"/>
              <w:right w:val="outset" w:color="auto" w:sz="6" w:space="0"/>
            </w:tcBorders>
            <w:noWrap w:val="0"/>
            <w:vAlign w:val="center"/>
          </w:tcPr>
          <w:p>
            <w:r>
              <w:t>2</w:t>
            </w:r>
          </w:p>
        </w:tc>
        <w:tc>
          <w:tcPr>
            <w:tcW w:w="389" w:type="pct"/>
            <w:vMerge w:val="restart"/>
            <w:tcBorders>
              <w:top w:val="outset" w:color="auto" w:sz="6" w:space="0"/>
              <w:left w:val="outset" w:color="auto" w:sz="6" w:space="0"/>
              <w:bottom w:val="outset" w:color="auto" w:sz="6" w:space="0"/>
              <w:right w:val="outset" w:color="auto" w:sz="6" w:space="0"/>
            </w:tcBorders>
            <w:noWrap w:val="0"/>
            <w:vAlign w:val="center"/>
          </w:tcPr>
          <w:p>
            <w:r>
              <w:t>符合性检查</w:t>
            </w:r>
          </w:p>
        </w:tc>
        <w:tc>
          <w:tcPr>
            <w:tcW w:w="1345" w:type="pct"/>
            <w:tcBorders>
              <w:top w:val="outset" w:color="auto" w:sz="6" w:space="0"/>
              <w:left w:val="outset" w:color="auto" w:sz="6" w:space="0"/>
              <w:bottom w:val="outset" w:color="auto" w:sz="6" w:space="0"/>
              <w:right w:val="outset" w:color="auto" w:sz="6" w:space="0"/>
            </w:tcBorders>
            <w:noWrap w:val="0"/>
            <w:vAlign w:val="center"/>
          </w:tcPr>
          <w:p>
            <w:r>
              <w:t>供应商名称</w:t>
            </w:r>
          </w:p>
        </w:tc>
        <w:tc>
          <w:tcPr>
            <w:tcW w:w="2900" w:type="pct"/>
            <w:tcBorders>
              <w:top w:val="outset" w:color="auto" w:sz="6" w:space="0"/>
              <w:left w:val="outset" w:color="auto" w:sz="6" w:space="0"/>
              <w:bottom w:val="outset" w:color="auto" w:sz="6" w:space="0"/>
              <w:right w:val="outset" w:color="auto" w:sz="6" w:space="0"/>
            </w:tcBorders>
            <w:noWrap w:val="0"/>
            <w:vAlign w:val="center"/>
          </w:tcPr>
          <w:p>
            <w:r>
              <w:t>与营业执照、资质证书等其他证件一致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9"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磋商响应性文件签署</w:t>
            </w:r>
          </w:p>
        </w:tc>
        <w:tc>
          <w:tcPr>
            <w:tcW w:w="2900" w:type="pct"/>
            <w:tcBorders>
              <w:top w:val="outset" w:color="auto" w:sz="6" w:space="0"/>
              <w:left w:val="outset" w:color="auto" w:sz="6" w:space="0"/>
              <w:bottom w:val="outset" w:color="auto" w:sz="6" w:space="0"/>
              <w:right w:val="outset" w:color="auto" w:sz="6" w:space="0"/>
            </w:tcBorders>
            <w:noWrap w:val="0"/>
            <w:vAlign w:val="center"/>
          </w:tcPr>
          <w:p>
            <w:r>
              <w:t xml:space="preserve">符合磋商文件要求在规定区域加盖单位电子公章和法定代表人电子印章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法定代表人和授权代表资格</w:t>
            </w:r>
          </w:p>
        </w:tc>
        <w:tc>
          <w:tcPr>
            <w:tcW w:w="2900" w:type="pct"/>
            <w:tcBorders>
              <w:top w:val="outset" w:color="auto" w:sz="6" w:space="0"/>
              <w:left w:val="outset" w:color="auto" w:sz="6" w:space="0"/>
              <w:bottom w:val="outset" w:color="auto" w:sz="6" w:space="0"/>
              <w:right w:val="outset" w:color="auto" w:sz="6" w:space="0"/>
            </w:tcBorders>
            <w:noWrap w:val="0"/>
            <w:vAlign w:val="center"/>
          </w:tcPr>
          <w:p>
            <w:r>
              <w:t>1、提供法定代表人资格证明；2、供应商代表若为委托代理人，提供委托授权书原件、委托代理人</w:t>
            </w:r>
            <w:r>
              <w:rPr>
                <w:rFonts w:hint="eastAsia"/>
              </w:rPr>
              <w:t>身份</w:t>
            </w:r>
            <w:r>
              <w:t xml:space="preserve">证原件。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7"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磋商报价</w:t>
            </w:r>
          </w:p>
        </w:tc>
        <w:tc>
          <w:tcPr>
            <w:tcW w:w="2900" w:type="pct"/>
            <w:tcBorders>
              <w:top w:val="outset" w:color="auto" w:sz="6" w:space="0"/>
              <w:left w:val="outset" w:color="auto" w:sz="6" w:space="0"/>
              <w:bottom w:val="outset" w:color="auto" w:sz="6" w:space="0"/>
              <w:right w:val="outset" w:color="auto" w:sz="6" w:space="0"/>
            </w:tcBorders>
            <w:noWrap w:val="0"/>
            <w:vAlign w:val="center"/>
          </w:tcPr>
          <w:p>
            <w:r>
              <w:t xml:space="preserve">磋商报价唯一；磋商报价未超过预算金额或者最高限价；磋商报价合理；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4"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right w:val="outset" w:color="auto" w:sz="6" w:space="0"/>
            </w:tcBorders>
            <w:noWrap w:val="0"/>
            <w:vAlign w:val="center"/>
          </w:tcPr>
          <w:p>
            <w:pPr>
              <w:autoSpaceDE w:val="0"/>
              <w:autoSpaceDN w:val="0"/>
              <w:adjustRightInd w:val="0"/>
              <w:snapToGrid w:val="0"/>
              <w:jc w:val="left"/>
              <w:rPr>
                <w:rFonts w:ascii="宋体" w:hAnsi="宋体"/>
                <w:kern w:val="0"/>
                <w:szCs w:val="22"/>
              </w:rPr>
            </w:pPr>
            <w:r>
              <w:rPr>
                <w:rFonts w:hint="eastAsia" w:ascii="宋体" w:hAnsi="宋体"/>
                <w:kern w:val="0"/>
                <w:szCs w:val="22"/>
              </w:rPr>
              <w:t>采购需求响应</w:t>
            </w:r>
          </w:p>
        </w:tc>
        <w:tc>
          <w:tcPr>
            <w:tcW w:w="2900" w:type="pct"/>
            <w:tcBorders>
              <w:top w:val="outset" w:color="auto" w:sz="6" w:space="0"/>
              <w:left w:val="outset" w:color="auto" w:sz="6" w:space="0"/>
              <w:right w:val="outset" w:color="auto" w:sz="6" w:space="0"/>
            </w:tcBorders>
            <w:noWrap w:val="0"/>
            <w:vAlign w:val="center"/>
          </w:tcPr>
          <w:p>
            <w:pPr>
              <w:autoSpaceDE w:val="0"/>
              <w:autoSpaceDN w:val="0"/>
              <w:adjustRightInd w:val="0"/>
              <w:snapToGrid w:val="0"/>
              <w:jc w:val="left"/>
              <w:rPr>
                <w:rFonts w:ascii="宋体" w:hAnsi="宋体"/>
                <w:kern w:val="0"/>
                <w:szCs w:val="22"/>
              </w:rPr>
            </w:pPr>
            <w:r>
              <w:rPr>
                <w:rFonts w:hint="eastAsia" w:ascii="宋体" w:hAnsi="宋体"/>
                <w:kern w:val="0"/>
                <w:szCs w:val="22"/>
              </w:rPr>
              <w:t>响应文件无其他未实质性响应磋商文件要求的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9"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磋商要求</w:t>
            </w:r>
          </w:p>
        </w:tc>
        <w:tc>
          <w:tcPr>
            <w:tcW w:w="2900" w:type="pct"/>
            <w:tcBorders>
              <w:top w:val="outset" w:color="auto" w:sz="6" w:space="0"/>
              <w:left w:val="outset" w:color="auto" w:sz="6" w:space="0"/>
              <w:bottom w:val="outset" w:color="auto" w:sz="6" w:space="0"/>
              <w:right w:val="outset" w:color="auto" w:sz="6" w:space="0"/>
            </w:tcBorders>
            <w:noWrap w:val="0"/>
            <w:vAlign w:val="center"/>
          </w:tcPr>
          <w:p>
            <w:r>
              <w:t>法定代表人或授权代表未按要求到达现场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365"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89"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345" w:type="pct"/>
            <w:tcBorders>
              <w:top w:val="outset" w:color="auto" w:sz="6" w:space="0"/>
              <w:left w:val="outset" w:color="auto" w:sz="6" w:space="0"/>
              <w:bottom w:val="outset" w:color="auto" w:sz="6" w:space="0"/>
              <w:right w:val="outset" w:color="auto" w:sz="6" w:space="0"/>
            </w:tcBorders>
            <w:noWrap w:val="0"/>
            <w:vAlign w:val="center"/>
          </w:tcPr>
          <w:p>
            <w:r>
              <w:t>其它要求</w:t>
            </w:r>
          </w:p>
        </w:tc>
        <w:tc>
          <w:tcPr>
            <w:tcW w:w="2900" w:type="pct"/>
            <w:tcBorders>
              <w:top w:val="outset" w:color="auto" w:sz="6" w:space="0"/>
              <w:left w:val="outset" w:color="auto" w:sz="6" w:space="0"/>
              <w:bottom w:val="outset" w:color="auto" w:sz="6" w:space="0"/>
              <w:right w:val="outset" w:color="auto" w:sz="6" w:space="0"/>
            </w:tcBorders>
            <w:noWrap w:val="0"/>
            <w:vAlign w:val="center"/>
          </w:tcPr>
          <w:p>
            <w:r>
              <w:t xml:space="preserve">符合法律法规和磋商文件规定的其它实质性要求 </w:t>
            </w:r>
          </w:p>
        </w:tc>
      </w:tr>
    </w:tbl>
    <w:p>
      <w:pPr>
        <w:pStyle w:val="33"/>
        <w:ind w:firstLine="0" w:firstLineChars="0"/>
        <w:rPr>
          <w:b/>
        </w:rPr>
      </w:pPr>
      <w:r>
        <w:rPr>
          <w:rFonts w:hint="eastAsia"/>
          <w:b/>
        </w:rPr>
        <w:t>注：1</w:t>
      </w:r>
      <w:r>
        <w:rPr>
          <w:b/>
        </w:rPr>
        <w:t>.</w:t>
      </w:r>
      <w:r>
        <w:rPr>
          <w:rFonts w:hint="eastAsia"/>
          <w:b/>
        </w:rPr>
        <w:t>磋商文件要求提交的与评价指标体系相关的各类有效资料的复印件并加盖公章</w:t>
      </w:r>
    </w:p>
    <w:p>
      <w:pPr>
        <w:pStyle w:val="33"/>
        <w:ind w:firstLine="472" w:firstLineChars="196"/>
        <w:rPr>
          <w:rFonts w:hint="eastAsia"/>
        </w:rPr>
      </w:pPr>
      <w:r>
        <w:rPr>
          <w:rFonts w:hint="eastAsia"/>
          <w:b/>
        </w:rPr>
        <w:t>2</w:t>
      </w:r>
      <w:r>
        <w:rPr>
          <w:b/>
        </w:rPr>
        <w:t>.</w:t>
      </w:r>
      <w:r>
        <w:rPr>
          <w:rFonts w:hint="eastAsia"/>
          <w:b/>
        </w:rPr>
        <w:t xml:space="preserve"> 以上检查内容必须全部符合检查标准，否则为无效响应文件，不得进入磋商、技术、商务及价格评审环节</w:t>
      </w:r>
      <w:r>
        <w:rPr>
          <w:rFonts w:hint="eastAsia"/>
          <w:b/>
          <w:lang w:eastAsia="zh-CN"/>
        </w:rPr>
        <w:t>。</w:t>
      </w:r>
    </w:p>
    <w:p>
      <w:pPr>
        <w:autoSpaceDE w:val="0"/>
        <w:autoSpaceDN w:val="0"/>
        <w:adjustRightInd w:val="0"/>
        <w:snapToGrid w:val="0"/>
        <w:jc w:val="left"/>
        <w:rPr>
          <w:rFonts w:hint="eastAsia"/>
          <w:b/>
          <w:kern w:val="0"/>
          <w:sz w:val="24"/>
        </w:rPr>
        <w:sectPr>
          <w:pgSz w:w="11906" w:h="16838"/>
          <w:pgMar w:top="1418" w:right="1418" w:bottom="1418" w:left="1418" w:header="851" w:footer="1134" w:gutter="0"/>
          <w:cols w:space="720" w:num="1"/>
          <w:docGrid w:linePitch="579" w:charSpace="1229"/>
        </w:sectPr>
      </w:pPr>
    </w:p>
    <w:p>
      <w:pPr>
        <w:pStyle w:val="35"/>
        <w:spacing w:before="36" w:after="36"/>
        <w:ind w:firstLine="0" w:firstLineChars="0"/>
        <w:outlineLvl w:val="2"/>
        <w:rPr>
          <w:rFonts w:hint="eastAsia"/>
          <w:b/>
        </w:rPr>
      </w:pPr>
      <w:r>
        <w:rPr>
          <w:rFonts w:hint="eastAsia"/>
          <w:b/>
        </w:rPr>
        <w:t>附表二  商务、技术、价格评审内容及标准</w:t>
      </w:r>
    </w:p>
    <w:tbl>
      <w:tblPr>
        <w:tblStyle w:val="10"/>
        <w:tblW w:w="5009"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78"/>
        <w:gridCol w:w="731"/>
        <w:gridCol w:w="910"/>
        <w:gridCol w:w="651"/>
        <w:gridCol w:w="547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5" w:hRule="atLeast"/>
        </w:trPr>
        <w:tc>
          <w:tcPr>
            <w:tcW w:w="784" w:type="pct"/>
            <w:gridSpan w:val="2"/>
            <w:tcBorders>
              <w:top w:val="outset" w:color="auto" w:sz="6" w:space="0"/>
              <w:left w:val="outset" w:color="auto" w:sz="6" w:space="0"/>
              <w:bottom w:val="outset" w:color="auto" w:sz="6" w:space="0"/>
              <w:right w:val="outset" w:color="auto" w:sz="6" w:space="0"/>
            </w:tcBorders>
            <w:noWrap w:val="0"/>
            <w:vAlign w:val="center"/>
          </w:tcPr>
          <w:p>
            <w:pPr>
              <w:jc w:val="center"/>
            </w:pPr>
            <w:r>
              <w:t>序号</w:t>
            </w:r>
          </w:p>
        </w:tc>
        <w:tc>
          <w:tcPr>
            <w:tcW w:w="545" w:type="pct"/>
            <w:tcBorders>
              <w:top w:val="outset" w:color="auto" w:sz="6" w:space="0"/>
              <w:left w:val="outset" w:color="auto" w:sz="6" w:space="0"/>
              <w:bottom w:val="outset" w:color="auto" w:sz="6" w:space="0"/>
              <w:right w:val="outset" w:color="auto" w:sz="6" w:space="0"/>
            </w:tcBorders>
            <w:noWrap w:val="0"/>
            <w:vAlign w:val="center"/>
          </w:tcPr>
          <w:p>
            <w:pPr>
              <w:jc w:val="center"/>
            </w:pPr>
            <w:r>
              <w:t>评审内容</w:t>
            </w:r>
          </w:p>
        </w:tc>
        <w:tc>
          <w:tcPr>
            <w:tcW w:w="390" w:type="pct"/>
            <w:tcBorders>
              <w:top w:val="outset" w:color="auto" w:sz="6" w:space="0"/>
              <w:left w:val="outset" w:color="auto" w:sz="6" w:space="0"/>
              <w:bottom w:val="outset" w:color="auto" w:sz="6" w:space="0"/>
              <w:right w:val="outset" w:color="auto" w:sz="6" w:space="0"/>
            </w:tcBorders>
            <w:noWrap w:val="0"/>
            <w:vAlign w:val="center"/>
          </w:tcPr>
          <w:p>
            <w:pPr>
              <w:jc w:val="center"/>
            </w:pPr>
            <w:r>
              <w:t>分值</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jc w:val="center"/>
            </w:pPr>
            <w:r>
              <w:t>评审因素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69" w:hRule="atLeast"/>
        </w:trPr>
        <w:tc>
          <w:tcPr>
            <w:tcW w:w="346" w:type="pct"/>
            <w:vMerge w:val="restart"/>
            <w:tcBorders>
              <w:top w:val="outset" w:color="auto" w:sz="6" w:space="0"/>
              <w:left w:val="outset" w:color="auto" w:sz="6" w:space="0"/>
              <w:right w:val="single" w:color="auto" w:sz="4" w:space="0"/>
            </w:tcBorders>
            <w:noWrap w:val="0"/>
            <w:vAlign w:val="center"/>
          </w:tcPr>
          <w:p>
            <w:pPr>
              <w:jc w:val="center"/>
            </w:pPr>
            <w:r>
              <w:t>3</w:t>
            </w:r>
          </w:p>
        </w:tc>
        <w:tc>
          <w:tcPr>
            <w:tcW w:w="438" w:type="pct"/>
            <w:vMerge w:val="restart"/>
            <w:tcBorders>
              <w:top w:val="outset" w:color="auto" w:sz="6" w:space="0"/>
              <w:left w:val="single" w:color="auto" w:sz="4" w:space="0"/>
              <w:right w:val="outset" w:color="auto" w:sz="6" w:space="0"/>
            </w:tcBorders>
            <w:noWrap w:val="0"/>
            <w:vAlign w:val="center"/>
          </w:tcPr>
          <w:p>
            <w:pPr>
              <w:jc w:val="center"/>
            </w:pPr>
            <w:r>
              <w:t>商</w:t>
            </w:r>
            <w:r>
              <w:br w:type="textWrapping"/>
            </w:r>
            <w:r>
              <w:t>务</w:t>
            </w:r>
            <w:r>
              <w:br w:type="textWrapping"/>
            </w:r>
            <w:r>
              <w:t>评</w:t>
            </w:r>
            <w:r>
              <w:br w:type="textWrapping"/>
            </w:r>
            <w:r>
              <w:t>价</w:t>
            </w:r>
          </w:p>
        </w:tc>
        <w:tc>
          <w:tcPr>
            <w:tcW w:w="545" w:type="pct"/>
            <w:tcBorders>
              <w:top w:val="outset" w:color="auto" w:sz="6" w:space="0"/>
              <w:left w:val="outset" w:color="auto" w:sz="6" w:space="0"/>
              <w:right w:val="outset" w:color="auto" w:sz="6" w:space="0"/>
            </w:tcBorders>
            <w:noWrap w:val="0"/>
            <w:vAlign w:val="center"/>
          </w:tcPr>
          <w:p>
            <w:pPr>
              <w:jc w:val="left"/>
              <w:rPr>
                <w:rFonts w:hint="eastAsia"/>
              </w:rPr>
            </w:pPr>
            <w:r>
              <w:rPr>
                <w:rFonts w:hint="eastAsia"/>
              </w:rPr>
              <w:t>投标文件</w:t>
            </w:r>
          </w:p>
          <w:p>
            <w:pPr>
              <w:jc w:val="left"/>
              <w:rPr>
                <w:rFonts w:hint="eastAsia"/>
              </w:rPr>
            </w:pPr>
            <w:r>
              <w:rPr>
                <w:rFonts w:hint="eastAsia"/>
              </w:rPr>
              <w:t>编制水平</w:t>
            </w:r>
          </w:p>
        </w:tc>
        <w:tc>
          <w:tcPr>
            <w:tcW w:w="390" w:type="pct"/>
            <w:tcBorders>
              <w:top w:val="outset" w:color="auto" w:sz="6" w:space="0"/>
              <w:left w:val="outset" w:color="auto" w:sz="6" w:space="0"/>
              <w:right w:val="outset" w:color="auto" w:sz="6" w:space="0"/>
            </w:tcBorders>
            <w:noWrap w:val="0"/>
            <w:vAlign w:val="center"/>
          </w:tcPr>
          <w:p>
            <w:pPr>
              <w:jc w:val="left"/>
            </w:pPr>
            <w:r>
              <w:rPr>
                <w:rFonts w:hint="eastAsia"/>
                <w:lang w:val="en-US" w:eastAsia="zh-CN"/>
              </w:rPr>
              <w:t>2</w:t>
            </w:r>
          </w:p>
        </w:tc>
        <w:tc>
          <w:tcPr>
            <w:tcW w:w="3279" w:type="pct"/>
            <w:tcBorders>
              <w:top w:val="outset" w:color="auto" w:sz="6" w:space="0"/>
              <w:left w:val="outset" w:color="auto" w:sz="6" w:space="0"/>
              <w:right w:val="outset" w:color="auto" w:sz="6" w:space="0"/>
            </w:tcBorders>
            <w:noWrap w:val="0"/>
            <w:vAlign w:val="center"/>
          </w:tcPr>
          <w:p>
            <w:pPr>
              <w:jc w:val="left"/>
              <w:rPr>
                <w:rFonts w:hint="eastAsia"/>
              </w:rPr>
            </w:pPr>
            <w:r>
              <w:rPr>
                <w:rFonts w:hint="eastAsia"/>
              </w:rPr>
              <w:t>按照招标文件要求装订投标文件，有目录并编制页码，内容架构清晰、易于查阅、审核，根据投标文件编制水平进行横向比较，编制较好的得</w:t>
            </w:r>
            <w:r>
              <w:rPr>
                <w:rFonts w:hint="eastAsia"/>
                <w:lang w:val="en-US" w:eastAsia="zh-CN"/>
              </w:rPr>
              <w:t>2</w:t>
            </w:r>
            <w:r>
              <w:rPr>
                <w:rFonts w:hint="eastAsia"/>
              </w:rPr>
              <w:t>分，一般的得</w:t>
            </w:r>
            <w:r>
              <w:rPr>
                <w:rFonts w:hint="eastAsia"/>
                <w:lang w:val="en-US" w:eastAsia="zh-CN"/>
              </w:rPr>
              <w:t>1</w:t>
            </w:r>
            <w:r>
              <w:rPr>
                <w:rFonts w:hint="eastAsia"/>
              </w:rPr>
              <w:t>分，否则不得分。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82" w:hRule="atLeast"/>
        </w:trPr>
        <w:tc>
          <w:tcPr>
            <w:tcW w:w="346" w:type="pct"/>
            <w:vMerge w:val="continue"/>
            <w:tcBorders>
              <w:top w:val="outset" w:color="auto" w:sz="6" w:space="0"/>
              <w:left w:val="outset" w:color="auto" w:sz="6" w:space="0"/>
              <w:right w:val="single" w:color="auto" w:sz="4" w:space="0"/>
            </w:tcBorders>
            <w:noWrap w:val="0"/>
            <w:vAlign w:val="center"/>
          </w:tcPr>
          <w:p>
            <w:pPr>
              <w:jc w:val="center"/>
            </w:pPr>
          </w:p>
        </w:tc>
        <w:tc>
          <w:tcPr>
            <w:tcW w:w="438" w:type="pct"/>
            <w:vMerge w:val="continue"/>
            <w:tcBorders>
              <w:top w:val="outset" w:color="auto" w:sz="6" w:space="0"/>
              <w:left w:val="single" w:color="auto" w:sz="4" w:space="0"/>
              <w:right w:val="outset" w:color="auto" w:sz="6" w:space="0"/>
            </w:tcBorders>
            <w:noWrap w:val="0"/>
            <w:vAlign w:val="center"/>
          </w:tcPr>
          <w:p>
            <w:pPr>
              <w:jc w:val="center"/>
            </w:pPr>
          </w:p>
        </w:tc>
        <w:tc>
          <w:tcPr>
            <w:tcW w:w="545" w:type="pct"/>
            <w:tcBorders>
              <w:top w:val="outset" w:color="auto" w:sz="6" w:space="0"/>
              <w:left w:val="outset" w:color="auto" w:sz="6" w:space="0"/>
              <w:right w:val="outset" w:color="auto" w:sz="6" w:space="0"/>
            </w:tcBorders>
            <w:noWrap w:val="0"/>
            <w:vAlign w:val="center"/>
          </w:tcPr>
          <w:p>
            <w:pPr>
              <w:jc w:val="left"/>
              <w:rPr>
                <w:rFonts w:hint="eastAsia"/>
              </w:rPr>
            </w:pPr>
            <w:r>
              <w:rPr>
                <w:rFonts w:hint="eastAsia"/>
              </w:rPr>
              <w:t>企业实力</w:t>
            </w:r>
          </w:p>
        </w:tc>
        <w:tc>
          <w:tcPr>
            <w:tcW w:w="390" w:type="pct"/>
            <w:tcBorders>
              <w:top w:val="outset" w:color="auto" w:sz="6" w:space="0"/>
              <w:left w:val="outset" w:color="auto" w:sz="6" w:space="0"/>
              <w:right w:val="outset" w:color="auto" w:sz="6" w:space="0"/>
            </w:tcBorders>
            <w:noWrap w:val="0"/>
            <w:vAlign w:val="center"/>
          </w:tcPr>
          <w:p>
            <w:pPr>
              <w:jc w:val="left"/>
              <w:rPr>
                <w:rFonts w:hint="eastAsia"/>
              </w:rPr>
            </w:pPr>
            <w:r>
              <w:rPr>
                <w:rFonts w:hint="eastAsia"/>
              </w:rPr>
              <w:t>6</w:t>
            </w:r>
          </w:p>
        </w:tc>
        <w:tc>
          <w:tcPr>
            <w:tcW w:w="3279" w:type="pct"/>
            <w:tcBorders>
              <w:top w:val="outset" w:color="auto" w:sz="6" w:space="0"/>
              <w:left w:val="outset" w:color="auto" w:sz="6" w:space="0"/>
              <w:right w:val="outset" w:color="auto" w:sz="6" w:space="0"/>
            </w:tcBorders>
            <w:noWrap w:val="0"/>
            <w:vAlign w:val="center"/>
          </w:tcPr>
          <w:p>
            <w:pPr>
              <w:jc w:val="left"/>
              <w:rPr>
                <w:rFonts w:hint="eastAsia"/>
              </w:rPr>
            </w:pPr>
            <w:r>
              <w:rPr>
                <w:rFonts w:hint="eastAsia"/>
              </w:rPr>
              <w:t>1、201</w:t>
            </w:r>
            <w:r>
              <w:rPr>
                <w:rFonts w:hint="eastAsia"/>
                <w:lang w:val="en-US" w:eastAsia="zh-CN"/>
              </w:rPr>
              <w:t>8</w:t>
            </w:r>
            <w:r>
              <w:rPr>
                <w:rFonts w:hint="eastAsia"/>
              </w:rPr>
              <w:t>年1月至今供应商获得过市级（含市级）以上工商行政部门颁发的“守合同重信用”证书（提供原件复印件及查询网址备查）或在“信用中国”评定为“守信红名单”的得4分（提供网页截图及查询网址备查），否则不得分。</w:t>
            </w:r>
          </w:p>
          <w:p>
            <w:pPr>
              <w:jc w:val="left"/>
              <w:rPr>
                <w:rFonts w:hint="eastAsia"/>
              </w:rPr>
            </w:pPr>
            <w:r>
              <w:rPr>
                <w:rFonts w:hint="eastAsia"/>
              </w:rPr>
              <w:t>2、供应商通过ISO9001质量管理体系认证的得2分，否则不得分。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91" w:hRule="atLeast"/>
        </w:trPr>
        <w:tc>
          <w:tcPr>
            <w:tcW w:w="346" w:type="pct"/>
            <w:vMerge w:val="continue"/>
            <w:tcBorders>
              <w:left w:val="outset" w:color="auto" w:sz="6" w:space="0"/>
              <w:right w:val="single" w:color="auto" w:sz="4" w:space="0"/>
            </w:tcBorders>
            <w:noWrap w:val="0"/>
            <w:vAlign w:val="center"/>
          </w:tcPr>
          <w:p>
            <w:pPr>
              <w:jc w:val="left"/>
            </w:pPr>
          </w:p>
        </w:tc>
        <w:tc>
          <w:tcPr>
            <w:tcW w:w="438" w:type="pct"/>
            <w:vMerge w:val="continue"/>
            <w:tcBorders>
              <w:left w:val="single" w:color="auto" w:sz="4" w:space="0"/>
              <w:right w:val="outset" w:color="auto" w:sz="6" w:space="0"/>
            </w:tcBorders>
            <w:noWrap w:val="0"/>
            <w:vAlign w:val="center"/>
          </w:tcPr>
          <w:p>
            <w:pPr>
              <w:jc w:val="left"/>
            </w:pPr>
          </w:p>
        </w:tc>
        <w:tc>
          <w:tcPr>
            <w:tcW w:w="545" w:type="pct"/>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项目团队</w:t>
            </w:r>
          </w:p>
        </w:tc>
        <w:tc>
          <w:tcPr>
            <w:tcW w:w="390" w:type="pct"/>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lang w:val="en-US" w:eastAsia="zh-CN"/>
              </w:rPr>
              <w:t>20</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rPr>
            </w:pPr>
            <w:r>
              <w:rPr>
                <w:rFonts w:hint="eastAsia"/>
              </w:rPr>
              <w:t xml:space="preserve">1、拟派项目负责人具有土地管理或土地规划或城乡规划或景观设计或测绘类高级职称得4分，中级职称得2分，其他的不得分； </w:t>
            </w:r>
          </w:p>
          <w:p>
            <w:pPr>
              <w:jc w:val="left"/>
              <w:rPr>
                <w:rFonts w:hint="eastAsia"/>
              </w:rPr>
            </w:pPr>
            <w:r>
              <w:rPr>
                <w:rFonts w:hint="eastAsia"/>
              </w:rPr>
              <w:t>2、拟派</w:t>
            </w:r>
            <w:r>
              <w:t>技术负责人为</w:t>
            </w:r>
            <w:r>
              <w:rPr>
                <w:rFonts w:hint="eastAsia"/>
              </w:rPr>
              <w:t>土地管理或土地规划或城乡规划或测绘类高级职称得4分，中级职称得2分，其他不得分</w:t>
            </w:r>
            <w:r>
              <w:t>。</w:t>
            </w:r>
          </w:p>
          <w:p>
            <w:pPr>
              <w:jc w:val="left"/>
              <w:rPr>
                <w:rFonts w:hint="eastAsia"/>
              </w:rPr>
            </w:pPr>
            <w:r>
              <w:rPr>
                <w:rFonts w:hint="eastAsia"/>
              </w:rPr>
              <w:t>3、</w:t>
            </w:r>
            <w:r>
              <w:t>投标人拟派</w:t>
            </w:r>
            <w:r>
              <w:rPr>
                <w:rFonts w:hint="eastAsia"/>
              </w:rPr>
              <w:t>技术</w:t>
            </w:r>
            <w:r>
              <w:t>人员具</w:t>
            </w:r>
            <w:r>
              <w:rPr>
                <w:rFonts w:hint="eastAsia"/>
              </w:rPr>
              <w:t>备土地管理或土地规划或城乡规划或景观设计或水利工程或工程管理或测绘类中级及以上职称证书的</w:t>
            </w:r>
            <w:r>
              <w:t>技术人员</w:t>
            </w:r>
            <w:r>
              <w:rPr>
                <w:rFonts w:hint="eastAsia"/>
              </w:rPr>
              <w:t>（不含项目负责人及技术负责人）10人及以上（测绘人员5人及以上、设计人员5人及以上）</w:t>
            </w:r>
            <w:r>
              <w:t>的得</w:t>
            </w:r>
            <w:r>
              <w:rPr>
                <w:rFonts w:hint="eastAsia"/>
              </w:rPr>
              <w:t>6</w:t>
            </w:r>
            <w:r>
              <w:t>分</w:t>
            </w:r>
            <w:r>
              <w:rPr>
                <w:rFonts w:hint="eastAsia"/>
              </w:rPr>
              <w:t>，</w:t>
            </w:r>
            <w:r>
              <w:t>每少一人扣</w:t>
            </w:r>
            <w:r>
              <w:rPr>
                <w:rFonts w:hint="eastAsia"/>
              </w:rPr>
              <w:t>1分，扣完为止。</w:t>
            </w:r>
          </w:p>
          <w:p>
            <w:pPr>
              <w:jc w:val="left"/>
              <w:rPr>
                <w:rFonts w:hint="eastAsia"/>
              </w:rPr>
            </w:pPr>
            <w:r>
              <w:rPr>
                <w:rFonts w:hint="eastAsia"/>
              </w:rPr>
              <w:t>4、项目团队中</w:t>
            </w:r>
            <w:r>
              <w:t>具有《涉密测绘成果管理人员岗位资格证》</w:t>
            </w:r>
            <w:r>
              <w:rPr>
                <w:rFonts w:hint="eastAsia"/>
              </w:rPr>
              <w:t>不少于2人（含2人）得</w:t>
            </w:r>
            <w:r>
              <w:rPr>
                <w:rFonts w:hint="eastAsia"/>
                <w:lang w:val="en-US" w:eastAsia="zh-CN"/>
              </w:rPr>
              <w:t>4</w:t>
            </w:r>
            <w:r>
              <w:rPr>
                <w:rFonts w:hint="eastAsia"/>
              </w:rPr>
              <w:t>分，否则不得分</w:t>
            </w:r>
            <w:r>
              <w:t>。</w:t>
            </w:r>
            <w:r>
              <w:rPr>
                <w:rFonts w:hint="eastAsia"/>
              </w:rPr>
              <w:t>（提供证书原件复印件或省测绘地理信息局网站截图）</w:t>
            </w:r>
          </w:p>
          <w:p>
            <w:pPr>
              <w:jc w:val="left"/>
              <w:rPr>
                <w:rFonts w:hint="eastAsia"/>
              </w:rPr>
            </w:pPr>
            <w:r>
              <w:rPr>
                <w:rFonts w:hint="eastAsia"/>
              </w:rPr>
              <w:t>5、项目团队具有无人机操作人员培训证书2人及以上得2分，否则不得分。</w:t>
            </w:r>
          </w:p>
          <w:p>
            <w:pPr>
              <w:jc w:val="left"/>
            </w:pPr>
            <w:r>
              <w:rPr>
                <w:rFonts w:hint="eastAsia"/>
              </w:rPr>
              <w:t>（以上人员提供人员证件原件复印件，不提供不得分）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689" w:hRule="atLeast"/>
        </w:trPr>
        <w:tc>
          <w:tcPr>
            <w:tcW w:w="346" w:type="pct"/>
            <w:vMerge w:val="continue"/>
            <w:tcBorders>
              <w:left w:val="outset" w:color="auto" w:sz="6" w:space="0"/>
              <w:right w:val="single" w:color="auto" w:sz="4" w:space="0"/>
            </w:tcBorders>
            <w:noWrap w:val="0"/>
            <w:vAlign w:val="center"/>
          </w:tcPr>
          <w:p>
            <w:pPr>
              <w:jc w:val="left"/>
            </w:pPr>
          </w:p>
        </w:tc>
        <w:tc>
          <w:tcPr>
            <w:tcW w:w="438" w:type="pct"/>
            <w:vMerge w:val="continue"/>
            <w:tcBorders>
              <w:left w:val="single" w:color="auto" w:sz="4" w:space="0"/>
              <w:right w:val="outset" w:color="auto" w:sz="6" w:space="0"/>
            </w:tcBorders>
            <w:noWrap w:val="0"/>
            <w:vAlign w:val="center"/>
          </w:tcPr>
          <w:p>
            <w:pPr>
              <w:jc w:val="left"/>
            </w:pPr>
          </w:p>
        </w:tc>
        <w:tc>
          <w:tcPr>
            <w:tcW w:w="545" w:type="pct"/>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技术装备</w:t>
            </w:r>
          </w:p>
        </w:tc>
        <w:tc>
          <w:tcPr>
            <w:tcW w:w="390" w:type="pct"/>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12</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pStyle w:val="37"/>
              <w:rPr>
                <w:rFonts w:hint="eastAsia"/>
                <w:sz w:val="21"/>
                <w:szCs w:val="21"/>
              </w:rPr>
            </w:pPr>
            <w:r>
              <w:rPr>
                <w:rFonts w:hint="eastAsia"/>
                <w:sz w:val="21"/>
                <w:szCs w:val="21"/>
              </w:rPr>
              <w:t>所有仪器设备必须为本单位自有：</w:t>
            </w:r>
          </w:p>
          <w:p>
            <w:pPr>
              <w:pStyle w:val="37"/>
              <w:rPr>
                <w:rFonts w:hint="eastAsia" w:ascii="宋体" w:hAnsi="宋体" w:cs="宋体"/>
                <w:sz w:val="21"/>
                <w:szCs w:val="21"/>
              </w:rPr>
            </w:pPr>
            <w:r>
              <w:rPr>
                <w:sz w:val="21"/>
                <w:szCs w:val="21"/>
              </w:rPr>
              <w:t>1</w:t>
            </w:r>
            <w:r>
              <w:rPr>
                <w:rFonts w:ascii="宋体" w:hAnsi="宋体" w:cs="宋体"/>
                <w:sz w:val="21"/>
                <w:szCs w:val="21"/>
              </w:rPr>
              <w:t>、投标人具有航空摄影测绘系统（含测绘无人机系统和数据采集系统软件）得</w:t>
            </w:r>
            <w:r>
              <w:rPr>
                <w:rFonts w:hint="eastAsia"/>
                <w:sz w:val="21"/>
                <w:szCs w:val="21"/>
              </w:rPr>
              <w:t>5</w:t>
            </w:r>
            <w:r>
              <w:rPr>
                <w:rFonts w:ascii="宋体" w:hAnsi="宋体" w:cs="宋体"/>
                <w:sz w:val="21"/>
                <w:szCs w:val="21"/>
              </w:rPr>
              <w:t>分；</w:t>
            </w:r>
          </w:p>
          <w:p>
            <w:pPr>
              <w:pStyle w:val="37"/>
              <w:rPr>
                <w:rFonts w:hint="eastAsia"/>
                <w:sz w:val="21"/>
                <w:szCs w:val="21"/>
              </w:rPr>
            </w:pPr>
            <w:r>
              <w:rPr>
                <w:sz w:val="21"/>
                <w:szCs w:val="21"/>
              </w:rPr>
              <w:t>2</w:t>
            </w:r>
            <w:r>
              <w:rPr>
                <w:rFonts w:ascii="宋体" w:hAnsi="宋体" w:cs="宋体"/>
                <w:sz w:val="21"/>
                <w:szCs w:val="21"/>
              </w:rPr>
              <w:t>、投标人具有全球导航卫星系统接收机（</w:t>
            </w:r>
            <w:r>
              <w:rPr>
                <w:sz w:val="21"/>
                <w:szCs w:val="21"/>
              </w:rPr>
              <w:t>5 mm+1ppm</w:t>
            </w:r>
            <w:r>
              <w:rPr>
                <w:rFonts w:ascii="宋体" w:hAnsi="宋体" w:cs="宋体"/>
                <w:sz w:val="21"/>
                <w:szCs w:val="21"/>
              </w:rPr>
              <w:t>精度以上）不少于</w:t>
            </w:r>
            <w:r>
              <w:rPr>
                <w:sz w:val="21"/>
                <w:szCs w:val="21"/>
              </w:rPr>
              <w:t>2</w:t>
            </w:r>
            <w:r>
              <w:rPr>
                <w:rFonts w:ascii="宋体" w:hAnsi="宋体" w:cs="宋体"/>
                <w:sz w:val="21"/>
                <w:szCs w:val="21"/>
              </w:rPr>
              <w:t>台得</w:t>
            </w:r>
            <w:r>
              <w:rPr>
                <w:rFonts w:hint="eastAsia"/>
                <w:sz w:val="21"/>
                <w:szCs w:val="21"/>
              </w:rPr>
              <w:t>2</w:t>
            </w:r>
            <w:r>
              <w:rPr>
                <w:rFonts w:ascii="宋体" w:hAnsi="宋体" w:cs="宋体"/>
                <w:sz w:val="21"/>
                <w:szCs w:val="21"/>
              </w:rPr>
              <w:t>分，每增加</w:t>
            </w:r>
            <w:r>
              <w:rPr>
                <w:sz w:val="21"/>
                <w:szCs w:val="21"/>
              </w:rPr>
              <w:t>1</w:t>
            </w:r>
            <w:r>
              <w:rPr>
                <w:rFonts w:ascii="宋体" w:hAnsi="宋体" w:cs="宋体"/>
                <w:sz w:val="21"/>
                <w:szCs w:val="21"/>
              </w:rPr>
              <w:t>台加</w:t>
            </w:r>
            <w:r>
              <w:rPr>
                <w:sz w:val="21"/>
                <w:szCs w:val="21"/>
              </w:rPr>
              <w:t>1</w:t>
            </w:r>
            <w:r>
              <w:rPr>
                <w:rFonts w:ascii="宋体" w:hAnsi="宋体" w:cs="宋体"/>
                <w:sz w:val="21"/>
                <w:szCs w:val="21"/>
              </w:rPr>
              <w:t>分，最多得</w:t>
            </w:r>
            <w:r>
              <w:rPr>
                <w:rFonts w:hint="eastAsia"/>
                <w:sz w:val="21"/>
                <w:szCs w:val="21"/>
              </w:rPr>
              <w:t>4</w:t>
            </w:r>
            <w:r>
              <w:rPr>
                <w:rFonts w:ascii="宋体" w:hAnsi="宋体" w:cs="宋体"/>
                <w:sz w:val="21"/>
                <w:szCs w:val="21"/>
              </w:rPr>
              <w:t>分</w:t>
            </w:r>
            <w:r>
              <w:rPr>
                <w:rFonts w:hint="eastAsia"/>
                <w:sz w:val="21"/>
                <w:szCs w:val="21"/>
              </w:rPr>
              <w:t>，</w:t>
            </w:r>
            <w:r>
              <w:rPr>
                <w:sz w:val="21"/>
                <w:szCs w:val="21"/>
              </w:rPr>
              <w:t>否则不得分</w:t>
            </w:r>
            <w:r>
              <w:rPr>
                <w:rFonts w:hint="eastAsia"/>
                <w:sz w:val="21"/>
                <w:szCs w:val="21"/>
              </w:rPr>
              <w:t>；</w:t>
            </w:r>
          </w:p>
          <w:p>
            <w:pPr>
              <w:pStyle w:val="37"/>
              <w:rPr>
                <w:rFonts w:hint="eastAsia" w:ascii="宋体" w:hAnsi="宋体" w:cs="宋体"/>
                <w:sz w:val="21"/>
                <w:szCs w:val="21"/>
              </w:rPr>
            </w:pPr>
            <w:r>
              <w:rPr>
                <w:sz w:val="21"/>
                <w:szCs w:val="21"/>
              </w:rPr>
              <w:t>3</w:t>
            </w:r>
            <w:r>
              <w:rPr>
                <w:rFonts w:ascii="宋体" w:hAnsi="宋体" w:cs="宋体"/>
                <w:sz w:val="21"/>
                <w:szCs w:val="21"/>
              </w:rPr>
              <w:t>、全站仪</w:t>
            </w:r>
            <w:r>
              <w:rPr>
                <w:sz w:val="21"/>
                <w:szCs w:val="21"/>
              </w:rPr>
              <w:t>3</w:t>
            </w:r>
            <w:r>
              <w:rPr>
                <w:rFonts w:ascii="宋体" w:hAnsi="宋体" w:cs="宋体"/>
                <w:sz w:val="21"/>
                <w:szCs w:val="21"/>
              </w:rPr>
              <w:t>台及以上（其中</w:t>
            </w:r>
            <w:r>
              <w:rPr>
                <w:sz w:val="21"/>
                <w:szCs w:val="21"/>
              </w:rPr>
              <w:t>2″</w:t>
            </w:r>
            <w:r>
              <w:rPr>
                <w:rFonts w:ascii="宋体" w:hAnsi="宋体" w:cs="宋体"/>
                <w:sz w:val="21"/>
                <w:szCs w:val="21"/>
              </w:rPr>
              <w:t>级精度以上</w:t>
            </w:r>
            <w:r>
              <w:rPr>
                <w:sz w:val="21"/>
                <w:szCs w:val="21"/>
              </w:rPr>
              <w:t>1</w:t>
            </w:r>
            <w:r>
              <w:rPr>
                <w:rFonts w:ascii="宋体" w:hAnsi="宋体" w:cs="宋体"/>
                <w:sz w:val="21"/>
                <w:szCs w:val="21"/>
              </w:rPr>
              <w:t>台），得</w:t>
            </w:r>
            <w:r>
              <w:rPr>
                <w:sz w:val="21"/>
                <w:szCs w:val="21"/>
              </w:rPr>
              <w:t>3</w:t>
            </w:r>
            <w:r>
              <w:rPr>
                <w:rFonts w:ascii="宋体" w:hAnsi="宋体" w:cs="宋体"/>
                <w:sz w:val="21"/>
                <w:szCs w:val="21"/>
              </w:rPr>
              <w:t>分。</w:t>
            </w:r>
          </w:p>
          <w:p>
            <w:pPr>
              <w:pStyle w:val="37"/>
            </w:pPr>
            <w:r>
              <w:rPr>
                <w:rFonts w:ascii="宋体" w:hAnsi="宋体" w:cs="宋体"/>
                <w:sz w:val="21"/>
                <w:szCs w:val="21"/>
              </w:rPr>
              <w:t>（提供设备清单及购买发票原件彩色复印件，</w:t>
            </w:r>
            <w:r>
              <w:rPr>
                <w:sz w:val="21"/>
                <w:szCs w:val="21"/>
              </w:rPr>
              <w:t>GPS</w:t>
            </w:r>
            <w:r>
              <w:rPr>
                <w:rFonts w:ascii="宋体" w:hAnsi="宋体" w:cs="宋体"/>
                <w:sz w:val="21"/>
                <w:szCs w:val="21"/>
              </w:rPr>
              <w:t>和全站仪应提供合格期内检定证书原件复印件，设备必须为本单位所有，否则不得分）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01" w:hRule="atLeast"/>
        </w:trPr>
        <w:tc>
          <w:tcPr>
            <w:tcW w:w="346" w:type="pct"/>
            <w:vMerge w:val="continue"/>
            <w:tcBorders>
              <w:left w:val="outset" w:color="auto" w:sz="6" w:space="0"/>
              <w:bottom w:val="outset" w:color="auto" w:sz="6" w:space="0"/>
              <w:right w:val="single" w:color="auto" w:sz="4" w:space="0"/>
            </w:tcBorders>
            <w:noWrap w:val="0"/>
            <w:vAlign w:val="center"/>
          </w:tcPr>
          <w:p>
            <w:pPr>
              <w:jc w:val="left"/>
            </w:pPr>
          </w:p>
        </w:tc>
        <w:tc>
          <w:tcPr>
            <w:tcW w:w="438" w:type="pct"/>
            <w:vMerge w:val="continue"/>
            <w:tcBorders>
              <w:left w:val="single" w:color="auto" w:sz="4" w:space="0"/>
              <w:bottom w:val="outset" w:color="auto" w:sz="6" w:space="0"/>
              <w:right w:val="outset" w:color="auto" w:sz="6" w:space="0"/>
            </w:tcBorders>
            <w:noWrap w:val="0"/>
            <w:vAlign w:val="center"/>
          </w:tcPr>
          <w:p>
            <w:pPr>
              <w:jc w:val="left"/>
            </w:pPr>
          </w:p>
        </w:tc>
        <w:tc>
          <w:tcPr>
            <w:tcW w:w="545" w:type="pct"/>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企业业绩</w:t>
            </w:r>
          </w:p>
        </w:tc>
        <w:tc>
          <w:tcPr>
            <w:tcW w:w="390" w:type="pct"/>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10</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供应商自2018年1月1日起承担过</w:t>
            </w:r>
            <w:r>
              <w:rPr>
                <w:rFonts w:hint="eastAsia"/>
                <w:lang w:eastAsia="zh-CN"/>
              </w:rPr>
              <w:t>类似</w:t>
            </w:r>
            <w:r>
              <w:rPr>
                <w:rFonts w:hint="eastAsia"/>
              </w:rPr>
              <w:t>业绩每个2分，最多得</w:t>
            </w:r>
            <w:r>
              <w:rPr>
                <w:rFonts w:hint="eastAsia"/>
                <w:lang w:val="en-US" w:eastAsia="zh-CN"/>
              </w:rPr>
              <w:t>10</w:t>
            </w:r>
            <w:r>
              <w:rPr>
                <w:rFonts w:hint="eastAsia"/>
              </w:rPr>
              <w:t>分</w:t>
            </w:r>
            <w:r>
              <w:rPr>
                <w:rFonts w:hint="eastAsia"/>
                <w:lang w:eastAsia="zh-CN"/>
              </w:rPr>
              <w:t>。</w:t>
            </w:r>
            <w:r>
              <w:rPr>
                <w:rFonts w:hint="eastAsia"/>
              </w:rPr>
              <w:t>（须提供项目合同及中标通知书原件复印件（或网页公示截屏）加盖投标人公章）。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53" w:hRule="atLeast"/>
        </w:trPr>
        <w:tc>
          <w:tcPr>
            <w:tcW w:w="346" w:type="pct"/>
            <w:vMerge w:val="restart"/>
            <w:tcBorders>
              <w:top w:val="outset" w:color="auto" w:sz="6" w:space="0"/>
              <w:left w:val="outset" w:color="auto" w:sz="6" w:space="0"/>
              <w:right w:val="outset" w:color="auto" w:sz="6" w:space="0"/>
            </w:tcBorders>
            <w:noWrap w:val="0"/>
            <w:vAlign w:val="center"/>
          </w:tcPr>
          <w:p>
            <w:pPr>
              <w:jc w:val="center"/>
            </w:pPr>
            <w:r>
              <w:t>4</w:t>
            </w:r>
          </w:p>
        </w:tc>
        <w:tc>
          <w:tcPr>
            <w:tcW w:w="438" w:type="pct"/>
            <w:vMerge w:val="restart"/>
            <w:tcBorders>
              <w:top w:val="outset" w:color="auto" w:sz="6" w:space="0"/>
              <w:left w:val="outset" w:color="auto" w:sz="6" w:space="0"/>
              <w:right w:val="outset" w:color="auto" w:sz="6" w:space="0"/>
            </w:tcBorders>
            <w:noWrap w:val="0"/>
            <w:vAlign w:val="center"/>
          </w:tcPr>
          <w:p>
            <w:pPr>
              <w:jc w:val="center"/>
            </w:pPr>
            <w:r>
              <w:t>技</w:t>
            </w:r>
            <w:r>
              <w:br w:type="textWrapping"/>
            </w:r>
            <w:r>
              <w:t>术</w:t>
            </w:r>
            <w:r>
              <w:br w:type="textWrapping"/>
            </w:r>
            <w:r>
              <w:t>评</w:t>
            </w:r>
            <w:r>
              <w:br w:type="textWrapping"/>
            </w:r>
            <w:r>
              <w:t>价</w:t>
            </w:r>
          </w:p>
        </w:tc>
        <w:tc>
          <w:tcPr>
            <w:tcW w:w="545" w:type="pct"/>
            <w:tcBorders>
              <w:top w:val="outset" w:color="auto" w:sz="6" w:space="0"/>
              <w:left w:val="outset" w:color="auto" w:sz="6" w:space="0"/>
              <w:right w:val="outset" w:color="auto" w:sz="6" w:space="0"/>
            </w:tcBorders>
            <w:noWrap w:val="0"/>
            <w:vAlign w:val="center"/>
          </w:tcPr>
          <w:p>
            <w:pPr>
              <w:jc w:val="left"/>
            </w:pPr>
            <w:r>
              <w:t>实施方案</w:t>
            </w:r>
          </w:p>
        </w:tc>
        <w:tc>
          <w:tcPr>
            <w:tcW w:w="390" w:type="pct"/>
            <w:tcBorders>
              <w:top w:val="outset" w:color="auto" w:sz="6" w:space="0"/>
              <w:left w:val="outset" w:color="auto" w:sz="6" w:space="0"/>
              <w:right w:val="outset" w:color="auto" w:sz="6" w:space="0"/>
            </w:tcBorders>
            <w:noWrap w:val="0"/>
            <w:vAlign w:val="center"/>
          </w:tcPr>
          <w:p>
            <w:pPr>
              <w:jc w:val="left"/>
            </w:pPr>
            <w:r>
              <w:rPr>
                <w:rFonts w:hint="eastAsia"/>
              </w:rPr>
              <w:t>20</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jc w:val="left"/>
            </w:pPr>
            <w:r>
              <w:t>评标委员会根据投标人针对本项目采购需求制定的工作方案从符合本项目实际要求，紧贴项目实际情况且有工作大纲等方面进行综合评分（主要评审内容：服务内容</w:t>
            </w:r>
            <w:r>
              <w:rPr>
                <w:rFonts w:hint="eastAsia"/>
              </w:rPr>
              <w:t>主次分明、服务方案全面详细</w:t>
            </w:r>
            <w:r>
              <w:t>、</w:t>
            </w:r>
            <w:r>
              <w:rPr>
                <w:rFonts w:hint="eastAsia"/>
              </w:rPr>
              <w:t>工作思路清晰明了、人员分工科学合理</w:t>
            </w:r>
            <w:r>
              <w:t>）。就上述</w:t>
            </w:r>
            <w:r>
              <w:rPr>
                <w:rFonts w:hint="eastAsia"/>
              </w:rPr>
              <w:t>四</w:t>
            </w:r>
            <w:r>
              <w:t>个因素提供了详细方案的得</w:t>
            </w:r>
            <w:r>
              <w:rPr>
                <w:rFonts w:hint="eastAsia"/>
              </w:rPr>
              <w:t>20</w:t>
            </w:r>
            <w:r>
              <w:t xml:space="preserve">分，缺失一项扣5分，未提供此项内容的不得分。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90" w:hRule="atLeast"/>
        </w:trPr>
        <w:tc>
          <w:tcPr>
            <w:tcW w:w="346" w:type="pct"/>
            <w:vMerge w:val="continue"/>
            <w:tcBorders>
              <w:left w:val="outset" w:color="auto" w:sz="6" w:space="0"/>
              <w:right w:val="outset" w:color="auto" w:sz="6" w:space="0"/>
            </w:tcBorders>
            <w:noWrap w:val="0"/>
            <w:vAlign w:val="center"/>
          </w:tcPr>
          <w:p>
            <w:pPr>
              <w:jc w:val="center"/>
            </w:pPr>
          </w:p>
        </w:tc>
        <w:tc>
          <w:tcPr>
            <w:tcW w:w="438" w:type="pct"/>
            <w:vMerge w:val="continue"/>
            <w:tcBorders>
              <w:left w:val="outset" w:color="auto" w:sz="6" w:space="0"/>
              <w:right w:val="outset" w:color="auto" w:sz="6" w:space="0"/>
            </w:tcBorders>
            <w:noWrap w:val="0"/>
            <w:vAlign w:val="center"/>
          </w:tcPr>
          <w:p>
            <w:pPr>
              <w:jc w:val="center"/>
            </w:pPr>
          </w:p>
        </w:tc>
        <w:tc>
          <w:tcPr>
            <w:tcW w:w="545" w:type="pct"/>
            <w:tcBorders>
              <w:top w:val="outset" w:color="auto" w:sz="6" w:space="0"/>
              <w:left w:val="outset" w:color="auto" w:sz="6" w:space="0"/>
              <w:right w:val="outset" w:color="auto" w:sz="6" w:space="0"/>
            </w:tcBorders>
            <w:noWrap w:val="0"/>
            <w:vAlign w:val="center"/>
          </w:tcPr>
          <w:p>
            <w:pPr>
              <w:jc w:val="left"/>
              <w:rPr>
                <w:rFonts w:hint="eastAsia"/>
              </w:rPr>
            </w:pPr>
            <w:r>
              <w:rPr>
                <w:rFonts w:hint="eastAsia"/>
              </w:rPr>
              <w:t>工作重难点分析及对策</w:t>
            </w:r>
          </w:p>
        </w:tc>
        <w:tc>
          <w:tcPr>
            <w:tcW w:w="390" w:type="pct"/>
            <w:tcBorders>
              <w:top w:val="outset" w:color="auto" w:sz="6" w:space="0"/>
              <w:left w:val="outset" w:color="auto" w:sz="6" w:space="0"/>
              <w:right w:val="outset" w:color="auto" w:sz="6" w:space="0"/>
            </w:tcBorders>
            <w:noWrap w:val="0"/>
            <w:vAlign w:val="center"/>
          </w:tcPr>
          <w:p>
            <w:pPr>
              <w:jc w:val="left"/>
            </w:pPr>
            <w:r>
              <w:rPr>
                <w:rFonts w:hint="eastAsia"/>
              </w:rPr>
              <w:t>5</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根据项目区</w:t>
            </w:r>
            <w:r>
              <w:t>基本情况，</w:t>
            </w:r>
            <w:r>
              <w:rPr>
                <w:rFonts w:hint="eastAsia"/>
              </w:rPr>
              <w:t>对项目特点、重难点分析准确并有相应的解决措施</w:t>
            </w:r>
            <w:r>
              <w:t>且能体现项目区特点（主要评审内容：对本项目的</w:t>
            </w:r>
            <w:r>
              <w:rPr>
                <w:rFonts w:hint="eastAsia"/>
              </w:rPr>
              <w:t>工作特点、重难点分析准确，对策针对性强</w:t>
            </w:r>
            <w:r>
              <w:t>等）。就上述两个因素提供了详细方案的得</w:t>
            </w:r>
            <w:r>
              <w:rPr>
                <w:rFonts w:hint="eastAsia"/>
              </w:rPr>
              <w:t>5</w:t>
            </w:r>
            <w:r>
              <w:t>分，缺失一项扣</w:t>
            </w:r>
            <w:r>
              <w:rPr>
                <w:rFonts w:hint="eastAsia"/>
              </w:rPr>
              <w:t>2.5</w:t>
            </w:r>
            <w:r>
              <w:t>分，未提供此项内容的不得分。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46" w:type="pct"/>
            <w:vMerge w:val="continue"/>
            <w:tcBorders>
              <w:left w:val="outset" w:color="auto" w:sz="6" w:space="0"/>
              <w:right w:val="outset" w:color="auto" w:sz="6" w:space="0"/>
            </w:tcBorders>
            <w:noWrap w:val="0"/>
            <w:vAlign w:val="center"/>
          </w:tcPr>
          <w:p>
            <w:pPr>
              <w:jc w:val="left"/>
            </w:pPr>
          </w:p>
        </w:tc>
        <w:tc>
          <w:tcPr>
            <w:tcW w:w="438" w:type="pct"/>
            <w:vMerge w:val="continue"/>
            <w:tcBorders>
              <w:left w:val="outset" w:color="auto" w:sz="6" w:space="0"/>
              <w:right w:val="outset" w:color="auto" w:sz="6" w:space="0"/>
            </w:tcBorders>
            <w:noWrap w:val="0"/>
            <w:vAlign w:val="center"/>
          </w:tcPr>
          <w:p>
            <w:pPr>
              <w:jc w:val="left"/>
            </w:pPr>
          </w:p>
        </w:tc>
        <w:tc>
          <w:tcPr>
            <w:tcW w:w="545" w:type="pct"/>
            <w:tcBorders>
              <w:top w:val="outset" w:color="auto" w:sz="6" w:space="0"/>
              <w:left w:val="outset" w:color="auto" w:sz="6" w:space="0"/>
              <w:bottom w:val="outset" w:color="auto" w:sz="6" w:space="0"/>
              <w:right w:val="outset" w:color="auto" w:sz="6" w:space="0"/>
            </w:tcBorders>
            <w:noWrap w:val="0"/>
            <w:vAlign w:val="center"/>
          </w:tcPr>
          <w:p>
            <w:pPr>
              <w:jc w:val="left"/>
            </w:pPr>
            <w:r>
              <w:t>工期计划</w:t>
            </w:r>
          </w:p>
          <w:p>
            <w:pPr>
              <w:jc w:val="left"/>
            </w:pPr>
            <w:r>
              <w:t>及保障措施</w:t>
            </w:r>
          </w:p>
        </w:tc>
        <w:tc>
          <w:tcPr>
            <w:tcW w:w="390" w:type="pct"/>
            <w:tcBorders>
              <w:top w:val="outset" w:color="auto" w:sz="6" w:space="0"/>
              <w:left w:val="outset" w:color="auto" w:sz="6" w:space="0"/>
              <w:bottom w:val="outset" w:color="auto" w:sz="6" w:space="0"/>
              <w:right w:val="outset" w:color="auto" w:sz="6" w:space="0"/>
            </w:tcBorders>
            <w:noWrap w:val="0"/>
            <w:vAlign w:val="center"/>
          </w:tcPr>
          <w:p>
            <w:pPr>
              <w:jc w:val="left"/>
            </w:pPr>
            <w:r>
              <w:t>5</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jc w:val="left"/>
            </w:pPr>
            <w:r>
              <w:t>投标人针对本项目服务要求及工期要求制定的进度安排、时间点控制（主要评审内容：项目工期</w:t>
            </w:r>
            <w:r>
              <w:rPr>
                <w:rFonts w:hint="eastAsia"/>
              </w:rPr>
              <w:t>安排</w:t>
            </w:r>
            <w:r>
              <w:t>可行性</w:t>
            </w:r>
            <w:r>
              <w:rPr>
                <w:rFonts w:hint="eastAsia"/>
              </w:rPr>
              <w:t>和保障</w:t>
            </w:r>
            <w:r>
              <w:t>措施合理</w:t>
            </w:r>
            <w:r>
              <w:rPr>
                <w:rFonts w:hint="eastAsia"/>
              </w:rPr>
              <w:t>性</w:t>
            </w:r>
            <w:r>
              <w:t xml:space="preserve">等），就上述两个因素提供了详细方案的得5分，缺失一项扣2.5分，未提供此项内容的不得分。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46" w:type="pct"/>
            <w:vMerge w:val="continue"/>
            <w:tcBorders>
              <w:left w:val="outset" w:color="auto" w:sz="6" w:space="0"/>
              <w:right w:val="outset" w:color="auto" w:sz="6" w:space="0"/>
            </w:tcBorders>
            <w:noWrap w:val="0"/>
            <w:vAlign w:val="center"/>
          </w:tcPr>
          <w:p>
            <w:pPr>
              <w:jc w:val="left"/>
            </w:pPr>
          </w:p>
        </w:tc>
        <w:tc>
          <w:tcPr>
            <w:tcW w:w="438" w:type="pct"/>
            <w:vMerge w:val="continue"/>
            <w:tcBorders>
              <w:left w:val="outset" w:color="auto" w:sz="6" w:space="0"/>
              <w:right w:val="outset" w:color="auto" w:sz="6" w:space="0"/>
            </w:tcBorders>
            <w:noWrap w:val="0"/>
            <w:vAlign w:val="center"/>
          </w:tcPr>
          <w:p>
            <w:pPr>
              <w:jc w:val="left"/>
            </w:pPr>
          </w:p>
        </w:tc>
        <w:tc>
          <w:tcPr>
            <w:tcW w:w="545" w:type="pct"/>
            <w:tcBorders>
              <w:top w:val="outset" w:color="auto" w:sz="6" w:space="0"/>
              <w:left w:val="outset" w:color="auto" w:sz="6" w:space="0"/>
              <w:bottom w:val="outset" w:color="auto" w:sz="6" w:space="0"/>
              <w:right w:val="outset" w:color="auto" w:sz="6" w:space="0"/>
            </w:tcBorders>
            <w:noWrap w:val="0"/>
            <w:vAlign w:val="center"/>
          </w:tcPr>
          <w:p>
            <w:pPr>
              <w:jc w:val="left"/>
            </w:pPr>
            <w:r>
              <w:t>质量和安全保障措施</w:t>
            </w:r>
          </w:p>
        </w:tc>
        <w:tc>
          <w:tcPr>
            <w:tcW w:w="390" w:type="pct"/>
            <w:tcBorders>
              <w:top w:val="outset" w:color="auto" w:sz="6" w:space="0"/>
              <w:left w:val="outset" w:color="auto" w:sz="6" w:space="0"/>
              <w:bottom w:val="outset" w:color="auto" w:sz="6" w:space="0"/>
              <w:right w:val="outset" w:color="auto" w:sz="6" w:space="0"/>
            </w:tcBorders>
            <w:noWrap w:val="0"/>
            <w:vAlign w:val="center"/>
          </w:tcPr>
          <w:p>
            <w:pPr>
              <w:jc w:val="left"/>
            </w:pPr>
            <w:r>
              <w:t>5</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jc w:val="left"/>
            </w:pPr>
            <w:r>
              <w:t>投标人针对本项目制定的质量和安全保障措施，符合</w:t>
            </w:r>
            <w:r>
              <w:rPr>
                <w:rFonts w:hint="eastAsia"/>
              </w:rPr>
              <w:t>高标准农田建设规范</w:t>
            </w:r>
            <w:r>
              <w:t>和农业农村厅相关规定和规范要求且满足采购人固定的服务标准（主要评审内容：</w:t>
            </w:r>
            <w:r>
              <w:rPr>
                <w:rFonts w:hint="eastAsia"/>
              </w:rPr>
              <w:t>保障目标明确，</w:t>
            </w:r>
            <w:r>
              <w:t>保障措施内容完善）。就上述</w:t>
            </w:r>
            <w:r>
              <w:rPr>
                <w:rFonts w:hint="eastAsia"/>
              </w:rPr>
              <w:t>两</w:t>
            </w:r>
            <w:r>
              <w:t>个因素提供了详细方案的得5分，缺失一项扣</w:t>
            </w:r>
            <w:r>
              <w:rPr>
                <w:rFonts w:hint="eastAsia"/>
              </w:rPr>
              <w:t>2.5</w:t>
            </w:r>
            <w:r>
              <w:t xml:space="preserve">分，未提供此项内 容的不得分。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46" w:type="pct"/>
            <w:vMerge w:val="continue"/>
            <w:tcBorders>
              <w:left w:val="outset" w:color="auto" w:sz="6" w:space="0"/>
              <w:bottom w:val="outset" w:color="auto" w:sz="6" w:space="0"/>
              <w:right w:val="outset" w:color="auto" w:sz="6" w:space="0"/>
            </w:tcBorders>
            <w:noWrap w:val="0"/>
            <w:vAlign w:val="center"/>
          </w:tcPr>
          <w:p>
            <w:pPr>
              <w:jc w:val="left"/>
            </w:pPr>
          </w:p>
        </w:tc>
        <w:tc>
          <w:tcPr>
            <w:tcW w:w="438" w:type="pct"/>
            <w:vMerge w:val="continue"/>
            <w:tcBorders>
              <w:left w:val="outset" w:color="auto" w:sz="6" w:space="0"/>
              <w:bottom w:val="outset" w:color="auto" w:sz="6" w:space="0"/>
              <w:right w:val="outset" w:color="auto" w:sz="6" w:space="0"/>
            </w:tcBorders>
            <w:noWrap w:val="0"/>
            <w:vAlign w:val="center"/>
          </w:tcPr>
          <w:p>
            <w:pPr>
              <w:jc w:val="left"/>
            </w:pPr>
          </w:p>
        </w:tc>
        <w:tc>
          <w:tcPr>
            <w:tcW w:w="545" w:type="pct"/>
            <w:tcBorders>
              <w:top w:val="outset" w:color="auto" w:sz="6" w:space="0"/>
              <w:left w:val="outset" w:color="auto" w:sz="6" w:space="0"/>
              <w:bottom w:val="outset" w:color="auto" w:sz="6" w:space="0"/>
              <w:right w:val="outset" w:color="auto" w:sz="6" w:space="0"/>
            </w:tcBorders>
            <w:noWrap w:val="0"/>
            <w:vAlign w:val="center"/>
          </w:tcPr>
          <w:p>
            <w:pPr>
              <w:jc w:val="left"/>
            </w:pPr>
            <w:r>
              <w:t>后期服务方案及承诺</w:t>
            </w:r>
          </w:p>
        </w:tc>
        <w:tc>
          <w:tcPr>
            <w:tcW w:w="390" w:type="pct"/>
            <w:tcBorders>
              <w:top w:val="outset" w:color="auto" w:sz="6" w:space="0"/>
              <w:left w:val="outset" w:color="auto" w:sz="6" w:space="0"/>
              <w:bottom w:val="outset" w:color="auto" w:sz="6" w:space="0"/>
              <w:right w:val="outset" w:color="auto" w:sz="6" w:space="0"/>
            </w:tcBorders>
            <w:noWrap w:val="0"/>
            <w:vAlign w:val="center"/>
          </w:tcPr>
          <w:p>
            <w:pPr>
              <w:jc w:val="left"/>
            </w:pPr>
            <w:r>
              <w:t>5</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jc w:val="left"/>
            </w:pPr>
            <w:r>
              <w:t>投标人针对本项目实际情况，提出后期服务方案并有相</w:t>
            </w:r>
            <w:r>
              <w:rPr>
                <w:rFonts w:hint="eastAsia"/>
              </w:rPr>
              <w:t>应承诺</w:t>
            </w:r>
            <w:r>
              <w:t>且能满足采购人</w:t>
            </w:r>
            <w:r>
              <w:rPr>
                <w:rFonts w:hint="eastAsia"/>
              </w:rPr>
              <w:t>确定</w:t>
            </w:r>
            <w:r>
              <w:t xml:space="preserve">的服务标准和目标（主要评审内容：售后服务方案切实可行、承诺措施目标明确等）。就上述两个因素提供了详细方案的得5分，缺失一项扣2.5分，未提供此项内容的不得分。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46" w:type="pct"/>
            <w:tcBorders>
              <w:top w:val="outset" w:color="auto" w:sz="6" w:space="0"/>
              <w:left w:val="outset" w:color="auto" w:sz="6" w:space="0"/>
              <w:bottom w:val="outset" w:color="auto" w:sz="6" w:space="0"/>
              <w:right w:val="outset" w:color="auto" w:sz="6" w:space="0"/>
            </w:tcBorders>
            <w:noWrap w:val="0"/>
            <w:vAlign w:val="center"/>
          </w:tcPr>
          <w:p>
            <w:pPr>
              <w:jc w:val="center"/>
            </w:pPr>
            <w:r>
              <w:t>5</w:t>
            </w:r>
          </w:p>
        </w:tc>
        <w:tc>
          <w:tcPr>
            <w:tcW w:w="438" w:type="pct"/>
            <w:tcBorders>
              <w:top w:val="outset" w:color="auto" w:sz="6" w:space="0"/>
              <w:left w:val="outset" w:color="auto" w:sz="6" w:space="0"/>
              <w:bottom w:val="outset" w:color="auto" w:sz="6" w:space="0"/>
              <w:right w:val="outset" w:color="auto" w:sz="6" w:space="0"/>
            </w:tcBorders>
            <w:noWrap w:val="0"/>
            <w:vAlign w:val="center"/>
          </w:tcPr>
          <w:p>
            <w:pPr>
              <w:jc w:val="center"/>
            </w:pPr>
            <w:r>
              <w:t>价</w:t>
            </w:r>
            <w:r>
              <w:br w:type="textWrapping"/>
            </w:r>
            <w:r>
              <w:t>格</w:t>
            </w:r>
            <w:r>
              <w:br w:type="textWrapping"/>
            </w:r>
            <w:r>
              <w:t>评</w:t>
            </w:r>
            <w:r>
              <w:br w:type="textWrapping"/>
            </w:r>
            <w:r>
              <w:t>价</w:t>
            </w:r>
          </w:p>
        </w:tc>
        <w:tc>
          <w:tcPr>
            <w:tcW w:w="545" w:type="pct"/>
            <w:tcBorders>
              <w:top w:val="outset" w:color="auto" w:sz="6" w:space="0"/>
              <w:left w:val="outset" w:color="auto" w:sz="6" w:space="0"/>
              <w:bottom w:val="outset" w:color="auto" w:sz="6" w:space="0"/>
              <w:right w:val="outset" w:color="auto" w:sz="6" w:space="0"/>
            </w:tcBorders>
            <w:noWrap w:val="0"/>
            <w:vAlign w:val="center"/>
          </w:tcPr>
          <w:p>
            <w:pPr>
              <w:jc w:val="left"/>
            </w:pPr>
            <w:r>
              <w:t>价格分</w:t>
            </w:r>
          </w:p>
        </w:tc>
        <w:tc>
          <w:tcPr>
            <w:tcW w:w="390" w:type="pct"/>
            <w:tcBorders>
              <w:top w:val="outset" w:color="auto" w:sz="6" w:space="0"/>
              <w:left w:val="outset" w:color="auto" w:sz="6" w:space="0"/>
              <w:bottom w:val="outset" w:color="auto" w:sz="6" w:space="0"/>
              <w:right w:val="outset" w:color="auto" w:sz="6" w:space="0"/>
            </w:tcBorders>
            <w:noWrap w:val="0"/>
            <w:vAlign w:val="center"/>
          </w:tcPr>
          <w:p>
            <w:pPr>
              <w:jc w:val="left"/>
            </w:pPr>
            <w:r>
              <w:t>10</w:t>
            </w:r>
          </w:p>
        </w:tc>
        <w:tc>
          <w:tcPr>
            <w:tcW w:w="3279" w:type="pct"/>
            <w:tcBorders>
              <w:top w:val="outset" w:color="auto" w:sz="6" w:space="0"/>
              <w:left w:val="outset" w:color="auto" w:sz="6" w:space="0"/>
              <w:bottom w:val="outset" w:color="auto" w:sz="6" w:space="0"/>
              <w:right w:val="outset" w:color="auto" w:sz="6" w:space="0"/>
            </w:tcBorders>
            <w:noWrap w:val="0"/>
            <w:vAlign w:val="center"/>
          </w:tcPr>
          <w:p>
            <w:pPr>
              <w:pStyle w:val="42"/>
              <w:spacing w:before="182"/>
              <w:ind w:firstLine="44" w:firstLineChars="21"/>
              <w:jc w:val="left"/>
              <w:rPr>
                <w:rFonts w:ascii="Calibri" w:hAnsi="Calibri" w:eastAsia="宋体" w:cs="黑体"/>
                <w:kern w:val="2"/>
                <w:sz w:val="21"/>
                <w:szCs w:val="22"/>
                <w:lang w:val="en-US" w:eastAsia="zh-CN" w:bidi="ar-SA"/>
              </w:rPr>
            </w:pPr>
            <w:r>
              <w:rPr>
                <w:rFonts w:hint="eastAsia" w:ascii="Calibri" w:hAnsi="Calibri" w:eastAsia="宋体" w:cs="黑体"/>
                <w:kern w:val="2"/>
                <w:sz w:val="21"/>
                <w:szCs w:val="22"/>
                <w:lang w:val="en-US" w:eastAsia="zh-CN" w:bidi="ar-SA"/>
              </w:rPr>
              <w:t>价格分采用低价优先法计算，即满足招标文件要求且最后报价最低的投标供应商的价格为基准价，其价格分为满分。其他投标供应商的价格分统一按照下列公式计算：</w:t>
            </w:r>
          </w:p>
          <w:p>
            <w:pPr>
              <w:jc w:val="left"/>
              <w:rPr>
                <w:rFonts w:hint="eastAsia" w:ascii="Calibri" w:hAnsi="Calibri" w:eastAsia="宋体" w:cs="黑体"/>
                <w:kern w:val="2"/>
                <w:sz w:val="21"/>
                <w:szCs w:val="22"/>
                <w:lang w:val="en-US" w:eastAsia="zh-CN" w:bidi="ar-SA"/>
              </w:rPr>
            </w:pPr>
            <w:r>
              <w:rPr>
                <w:rFonts w:hint="eastAsia" w:ascii="Calibri" w:hAnsi="Calibri" w:eastAsia="宋体" w:cs="黑体"/>
                <w:kern w:val="2"/>
                <w:sz w:val="21"/>
                <w:szCs w:val="22"/>
                <w:lang w:val="en-US" w:eastAsia="zh-CN" w:bidi="ar-SA"/>
              </w:rPr>
              <w:t xml:space="preserve">投标报价得分=（评标基准价/投标报价）×10 （精确到两位小数位，两位后实行四舍五入）              </w:t>
            </w:r>
          </w:p>
          <w:p>
            <w:pPr>
              <w:jc w:val="left"/>
              <w:rPr>
                <w:rFonts w:hint="eastAsia" w:ascii="Calibri" w:hAnsi="Calibri" w:eastAsia="宋体" w:cs="黑体"/>
                <w:kern w:val="2"/>
                <w:sz w:val="21"/>
                <w:szCs w:val="22"/>
                <w:lang w:val="en-US" w:eastAsia="zh-CN" w:bidi="ar-SA"/>
              </w:rPr>
            </w:pPr>
            <w:r>
              <w:rPr>
                <w:rFonts w:hint="eastAsia" w:ascii="Calibri" w:hAnsi="Calibri" w:eastAsia="宋体" w:cs="黑体"/>
                <w:kern w:val="2"/>
                <w:sz w:val="21"/>
                <w:szCs w:val="22"/>
                <w:lang w:val="en-US" w:eastAsia="zh-CN" w:bidi="ar-SA"/>
              </w:rPr>
              <w:t>为保证服务质量，投标报价低于采购预算90%时，评标委员会将对其进行成本分析，评标委员会认为报价低于成本价时将否决其投标。</w:t>
            </w:r>
          </w:p>
          <w:p>
            <w:pPr>
              <w:jc w:val="left"/>
              <w:rPr>
                <w:rFonts w:ascii="Calibri" w:hAnsi="Calibri" w:eastAsia="宋体" w:cs="黑体"/>
                <w:kern w:val="2"/>
                <w:sz w:val="21"/>
                <w:szCs w:val="22"/>
                <w:lang w:val="en-US" w:eastAsia="zh-CN" w:bidi="ar-SA"/>
              </w:rPr>
            </w:pPr>
            <w:r>
              <w:rPr>
                <w:rFonts w:ascii="Calibri" w:hAnsi="Calibri" w:eastAsia="宋体" w:cs="黑体"/>
                <w:kern w:val="2"/>
                <w:sz w:val="21"/>
                <w:szCs w:val="22"/>
                <w:lang w:val="en-US" w:eastAsia="zh-CN" w:bidi="ar-SA"/>
              </w:rPr>
              <w:t>注：1、供应商的磋商报价以万元为单位，保留小数点后两位。</w:t>
            </w:r>
          </w:p>
          <w:p>
            <w:pPr>
              <w:jc w:val="left"/>
              <w:rPr>
                <w:rFonts w:asciiTheme="minorHAnsi" w:hAnsiTheme="minorHAnsi" w:eastAsiaTheme="minorEastAsia" w:cstheme="minorBidi"/>
                <w:kern w:val="2"/>
                <w:sz w:val="21"/>
                <w:szCs w:val="22"/>
                <w:lang w:val="en-US" w:eastAsia="zh-CN" w:bidi="ar-SA"/>
              </w:rPr>
            </w:pPr>
            <w:r>
              <w:t>2、</w:t>
            </w:r>
            <w:r>
              <w:rPr>
                <w:rFonts w:hint="eastAsia"/>
              </w:rPr>
              <w:t>磋商小组</w:t>
            </w:r>
            <w:r>
              <w:t>判定磋商报价为不合理低价的作无效</w:t>
            </w:r>
            <w:r>
              <w:rPr>
                <w:rFonts w:hint="eastAsia"/>
              </w:rPr>
              <w:t>报价</w:t>
            </w:r>
            <w:r>
              <w:t>处理。</w:t>
            </w:r>
          </w:p>
        </w:tc>
      </w:tr>
    </w:tbl>
    <w:p>
      <w:pPr>
        <w:pStyle w:val="33"/>
        <w:ind w:firstLine="472" w:firstLineChars="196"/>
        <w:rPr>
          <w:rFonts w:hint="eastAsia"/>
          <w:b/>
        </w:rPr>
      </w:pPr>
      <w:r>
        <w:rPr>
          <w:rFonts w:hint="eastAsia"/>
          <w:b/>
        </w:rPr>
        <w:t>注：1、磋商文件要求提交的与评价指标体系相关的各类有效资料的复印件并加盖公章，如未按要求提交的，该项评分为零分。</w:t>
      </w:r>
    </w:p>
    <w:p>
      <w:pPr>
        <w:spacing w:line="360" w:lineRule="auto"/>
        <w:rPr>
          <w:rFonts w:ascii="Times New Roman" w:hAnsi="Times New Roman" w:eastAsia="方正姚体" w:cs="Times New Roman"/>
          <w:bCs/>
          <w:sz w:val="24"/>
          <w:szCs w:val="24"/>
        </w:rPr>
      </w:pPr>
      <w:r>
        <w:rPr>
          <w:rFonts w:hint="eastAsia"/>
          <w:b/>
        </w:rPr>
        <w:t>2、评委按规定的范围内进行量化打分并统计总分（四舍五入后小数点后保留两位有效数字）。</w:t>
      </w:r>
    </w:p>
    <w:p>
      <w:pPr>
        <w:widowControl/>
        <w:spacing w:line="360" w:lineRule="auto"/>
        <w:jc w:val="center"/>
        <w:rPr>
          <w:rFonts w:ascii="Times New Roman" w:hAnsi="Times New Roman" w:cs="Times New Roman"/>
          <w:bCs/>
          <w:sz w:val="32"/>
          <w:szCs w:val="32"/>
        </w:rPr>
      </w:pPr>
      <w:r>
        <w:rPr>
          <w:rFonts w:ascii="Times New Roman" w:hAnsi="Times New Roman" w:cs="Times New Roman"/>
          <w:b/>
          <w:sz w:val="24"/>
          <w:szCs w:val="24"/>
        </w:rPr>
        <w:br w:type="page"/>
      </w:r>
      <w:r>
        <w:rPr>
          <w:rFonts w:ascii="Times New Roman" w:hAnsi="Times New Roman" w:cs="Times New Roman"/>
          <w:b/>
          <w:sz w:val="32"/>
          <w:szCs w:val="32"/>
        </w:rPr>
        <w:t>第五章 合同书（参考格式）</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cs="Times New Roman"/>
          <w:b/>
          <w:kern w:val="0"/>
          <w:sz w:val="24"/>
          <w:szCs w:val="24"/>
        </w:rPr>
      </w:pPr>
    </w:p>
    <w:p>
      <w:pPr>
        <w:spacing w:line="360" w:lineRule="auto"/>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（集中采购机构名称）</w:t>
      </w:r>
      <w:r>
        <w:rPr>
          <w:rFonts w:ascii="Times New Roman" w:hAnsi="Times New Roman" w:cs="Times New Roman"/>
          <w:kern w:val="0"/>
          <w:sz w:val="24"/>
          <w:szCs w:val="24"/>
        </w:rPr>
        <w:t>发出的成交通知书；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ascii="Times New Roman" w:hAnsi="Times New Roman" w:cs="Times New Roman"/>
          <w:kern w:val="0"/>
          <w:sz w:val="24"/>
          <w:szCs w:val="24"/>
        </w:rPr>
        <w:t>供　　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ascii="Times New Roman" w:hAnsi="Times New Roman" w:cs="Times New Roman"/>
          <w:kern w:val="0"/>
          <w:sz w:val="24"/>
          <w:szCs w:val="24"/>
        </w:rPr>
        <w:t>单位名称（盖章）：</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ascii="Times New Roman" w:hAnsi="Times New Roman" w:cs="Times New Roman"/>
          <w:kern w:val="0"/>
          <w:sz w:val="24"/>
          <w:szCs w:val="24"/>
        </w:rPr>
        <w:t>单位地址：</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ascii="Times New Roman" w:hAnsi="Times New Roman" w:cs="Times New Roman"/>
          <w:kern w:val="0"/>
          <w:sz w:val="24"/>
          <w:szCs w:val="24"/>
        </w:rPr>
        <w:t>电　　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ascii="Times New Roman" w:hAnsi="Times New Roman" w:cs="Times New Roman"/>
          <w:kern w:val="0"/>
          <w:sz w:val="24"/>
          <w:szCs w:val="24"/>
        </w:rPr>
        <w:t>传　　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ascii="Times New Roman" w:hAnsi="Times New Roman" w:cs="Times New Roman"/>
          <w:kern w:val="0"/>
          <w:sz w:val="24"/>
          <w:szCs w:val="24"/>
        </w:rPr>
        <w:t>邮政编码：</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ascii="Times New Roman" w:hAnsi="Times New Roman" w:cs="Times New Roman"/>
          <w:kern w:val="0"/>
          <w:sz w:val="24"/>
          <w:szCs w:val="24"/>
        </w:rPr>
        <w:t>开户银行：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ascii="Times New Roman" w:hAnsi="Times New Roman" w:cs="Times New Roman"/>
          <w:kern w:val="0"/>
          <w:sz w:val="24"/>
          <w:szCs w:val="24"/>
        </w:rPr>
        <w:t>帐　　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ascii="Times New Roman" w:hAnsi="Times New Roman" w:cs="Times New Roman"/>
          <w:kern w:val="0"/>
          <w:sz w:val="24"/>
          <w:szCs w:val="24"/>
        </w:rPr>
        <w:t>税　　号：</w:t>
      </w:r>
    </w:p>
    <w:p>
      <w:pPr>
        <w:widowControl/>
        <w:spacing w:line="360" w:lineRule="auto"/>
        <w:jc w:val="left"/>
        <w:rPr>
          <w:rFonts w:ascii="Times New Roman" w:hAnsi="Times New Roman" w:cs="Times New Roman"/>
          <w:b/>
          <w:sz w:val="24"/>
          <w:szCs w:val="24"/>
        </w:rPr>
      </w:pP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pPr>
        <w:tabs>
          <w:tab w:val="left" w:pos="1260"/>
        </w:tabs>
        <w:spacing w:line="360" w:lineRule="auto"/>
        <w:jc w:val="center"/>
        <w:rPr>
          <w:rFonts w:ascii="Times New Roman" w:hAnsi="Times New Roman" w:eastAsia="宋体" w:cs="Times New Roman"/>
          <w:b/>
          <w:bCs/>
          <w:spacing w:val="100"/>
          <w:w w:val="110"/>
          <w:sz w:val="36"/>
          <w:szCs w:val="36"/>
        </w:rPr>
      </w:pPr>
    </w:p>
    <w:p>
      <w:pPr>
        <w:tabs>
          <w:tab w:val="left" w:pos="1260"/>
        </w:tabs>
        <w:spacing w:line="360" w:lineRule="auto"/>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spacing w:line="360" w:lineRule="auto"/>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r>
        <w:rPr>
          <w:rFonts w:hint="eastAsia" w:ascii="Times New Roman" w:hAnsi="Times New Roman" w:eastAsia="宋体" w:cs="Times New Roman"/>
          <w:sz w:val="144"/>
          <w:szCs w:val="144"/>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 商 书</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1）磋商书 (附件1)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2）报价组成情况表(附件2)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3）货物（服务）清单(附件3)；</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4）资格性符合性检查对照表(附件4)；</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5）技术响应、偏离情况说明表(附件5)；</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6）合同草案条款响应、偏离情况说明表（附件6）；</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7）法人（负责人）代表授权书（附件7）；</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8）法人或者其他组织的营业执照等证明文件，自然人的身份证明(附件8)；</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9）财务状况报告，依法缴纳税收和社会保障资金的相关材料(附件9)；</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10）具备履行合同所必需的设备和专业技术能力的证明材料(附件10)；</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11）参加政府采购活动前3年内在经营活动中没有重大违法记录的书面声明(附件11)；</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13）《中小企业声明函》、《残疾人福利性单位声明函》、属于监狱企业的证明文件等（如果有的话）(附件13)。</w:t>
      </w:r>
    </w:p>
    <w:p>
      <w:pPr>
        <w:spacing w:line="360" w:lineRule="auto"/>
        <w:ind w:firstLine="480"/>
        <w:rPr>
          <w:rFonts w:ascii="Times New Roman" w:hAnsi="Times New Roman" w:eastAsia="宋体" w:cs="Times New Roman"/>
          <w:sz w:val="24"/>
          <w:szCs w:val="24"/>
        </w:rPr>
      </w:pPr>
      <w:r>
        <w:rPr>
          <w:rFonts w:hint="eastAsia"/>
          <w:b/>
          <w:bCs/>
          <w:color w:val="000000" w:themeColor="text1"/>
          <w:sz w:val="24"/>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报价组成情况表</w:t>
      </w:r>
    </w:p>
    <w:p>
      <w:pPr>
        <w:spacing w:line="360" w:lineRule="auto"/>
        <w:rPr>
          <w:rFonts w:ascii="Times New Roman" w:hAnsi="Times New Roman" w:cs="Times New Roman"/>
          <w:color w:val="000000"/>
          <w:sz w:val="24"/>
          <w:u w:val="single"/>
        </w:rPr>
      </w:pPr>
      <w:r>
        <w:rPr>
          <w:rFonts w:ascii="Times New Roman" w:hAnsi="Times New Roman" w:cs="Times New Roman"/>
          <w:color w:val="000000"/>
          <w:sz w:val="24"/>
        </w:rPr>
        <w:t>项目编号（包号）：</w:t>
      </w:r>
    </w:p>
    <w:p>
      <w:pPr>
        <w:spacing w:line="360" w:lineRule="auto"/>
        <w:rPr>
          <w:rFonts w:ascii="Times New Roman" w:hAnsi="Times New Roman" w:eastAsia="仿宋_GB2312" w:cs="Times New Roman"/>
          <w:color w:val="000000"/>
          <w:sz w:val="24"/>
          <w:u w:val="single"/>
        </w:rPr>
      </w:pPr>
      <w:r>
        <w:rPr>
          <w:rFonts w:ascii="Times New Roman" w:hAnsi="Times New Roman" w:cs="Times New Roman"/>
          <w:color w:val="000000"/>
          <w:sz w:val="24"/>
        </w:rPr>
        <w:t>项目名称：</w:t>
      </w:r>
    </w:p>
    <w:tbl>
      <w:tblPr>
        <w:tblStyle w:val="10"/>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名称（服务）</w:t>
            </w:r>
          </w:p>
        </w:tc>
        <w:tc>
          <w:tcPr>
            <w:tcW w:w="1237"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805"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c>
          <w:tcPr>
            <w:tcW w:w="165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913"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单价</w:t>
            </w:r>
          </w:p>
        </w:tc>
        <w:tc>
          <w:tcPr>
            <w:tcW w:w="1136"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6</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其它</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7</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总计</w:t>
            </w:r>
          </w:p>
        </w:tc>
        <w:tc>
          <w:tcPr>
            <w:tcW w:w="2049" w:type="dxa"/>
            <w:gridSpan w:val="2"/>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注：</w:t>
      </w:r>
      <w:r>
        <w:rPr>
          <w:rFonts w:ascii="Times New Roman" w:hAnsi="Times New Roman" w:cs="Times New Roman"/>
          <w:color w:val="FF0000"/>
          <w:sz w:val="24"/>
          <w:szCs w:val="24"/>
        </w:rPr>
        <w:t>本表仅作为磋商小组了解报价组成情况，不作为最终成交价</w:t>
      </w:r>
      <w:r>
        <w:rPr>
          <w:rFonts w:ascii="Times New Roman" w:hAnsi="Times New Roman" w:cs="Times New Roman"/>
          <w:sz w:val="24"/>
          <w:szCs w:val="24"/>
        </w:rPr>
        <w:t>。</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t>附件3</w:t>
      </w:r>
    </w:p>
    <w:p>
      <w:pPr>
        <w:widowControl/>
        <w:spacing w:line="360" w:lineRule="auto"/>
        <w:jc w:val="center"/>
        <w:rPr>
          <w:rFonts w:ascii="Times New Roman" w:hAnsi="Times New Roman" w:cs="Times New Roman"/>
          <w:sz w:val="32"/>
          <w:szCs w:val="32"/>
        </w:rPr>
      </w:pPr>
      <w:r>
        <w:rPr>
          <w:rFonts w:ascii="Times New Roman" w:hAnsi="Times New Roman" w:cs="Times New Roman"/>
          <w:sz w:val="32"/>
          <w:szCs w:val="32"/>
        </w:rPr>
        <w:t>货物（服务）清单</w:t>
      </w:r>
    </w:p>
    <w:p>
      <w:pPr>
        <w:spacing w:line="360" w:lineRule="auto"/>
        <w:rPr>
          <w:rFonts w:ascii="Times New Roman" w:hAnsi="Times New Roman" w:cs="Times New Roman"/>
          <w:color w:val="000000"/>
          <w:sz w:val="24"/>
        </w:rPr>
      </w:pPr>
    </w:p>
    <w:p>
      <w:pPr>
        <w:spacing w:line="360" w:lineRule="auto"/>
        <w:rPr>
          <w:rFonts w:ascii="Times New Roman" w:hAnsi="Times New Roman" w:cs="Times New Roman"/>
          <w:color w:val="000000"/>
          <w:sz w:val="24"/>
        </w:rPr>
      </w:pPr>
      <w:r>
        <w:rPr>
          <w:rFonts w:ascii="Times New Roman" w:hAnsi="Times New Roman" w:cs="Times New Roman"/>
          <w:color w:val="000000"/>
          <w:sz w:val="24"/>
        </w:rPr>
        <w:t>项目编号（包号）：</w:t>
      </w:r>
    </w:p>
    <w:p>
      <w:pPr>
        <w:spacing w:line="360" w:lineRule="auto"/>
        <w:rPr>
          <w:rFonts w:ascii="Times New Roman" w:hAnsi="Times New Roman" w:cs="Times New Roman"/>
          <w:b/>
          <w:bCs/>
          <w:color w:val="000000"/>
          <w:sz w:val="32"/>
          <w:szCs w:val="32"/>
        </w:rPr>
      </w:pPr>
      <w:r>
        <w:rPr>
          <w:rFonts w:ascii="Times New Roman" w:hAnsi="Times New Roman" w:cs="Times New Roman"/>
          <w:color w:val="000000"/>
          <w:sz w:val="24"/>
        </w:rPr>
        <w:t>项目名称：</w:t>
      </w:r>
    </w:p>
    <w:tbl>
      <w:tblPr>
        <w:tblStyle w:val="10"/>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货物（服务）名称</w:t>
            </w: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生产地</w:t>
            </w:r>
          </w:p>
        </w:tc>
        <w:tc>
          <w:tcPr>
            <w:tcW w:w="1701"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113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6</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7</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8</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480" w:firstLineChars="200"/>
        <w:rPr>
          <w:rFonts w:ascii="Times New Roman" w:hAnsi="Times New Roman" w:cs="Times New Roman"/>
          <w:color w:val="000000"/>
        </w:rPr>
      </w:pPr>
      <w:r>
        <w:rPr>
          <w:rFonts w:ascii="Times New Roman" w:hAnsi="Times New Roman" w:cs="Times New Roman"/>
          <w:sz w:val="24"/>
        </w:rPr>
        <w:t>说明：提供详细的货物和服务范围，包括货物和服务类别及制造（开发）商、备品备件等。</w:t>
      </w:r>
    </w:p>
    <w:p>
      <w:pPr>
        <w:spacing w:line="360" w:lineRule="auto"/>
        <w:rPr>
          <w:rFonts w:ascii="Times New Roman" w:hAnsi="Times New Roman" w:eastAsia="仿宋_GB2312" w:cs="Times New Roman"/>
          <w:color w:val="000000"/>
          <w:sz w:val="24"/>
        </w:rPr>
      </w:pPr>
    </w:p>
    <w:p>
      <w:pPr>
        <w:pStyle w:val="5"/>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5"/>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pStyle w:val="5"/>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时间：</w:t>
      </w:r>
    </w:p>
    <w:p>
      <w:pPr>
        <w:widowControl/>
        <w:spacing w:line="360" w:lineRule="auto"/>
        <w:jc w:val="left"/>
        <w:rPr>
          <w:rFonts w:ascii="Times New Roman" w:hAnsi="Times New Roman" w:cs="Times New Roman"/>
          <w:sz w:val="32"/>
          <w:szCs w:val="32"/>
        </w:rPr>
      </w:pPr>
    </w:p>
    <w:p>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附件4</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spacing w:line="360" w:lineRule="auto"/>
        <w:ind w:left="945" w:leftChars="300" w:hanging="315" w:hangingChars="150"/>
        <w:rPr>
          <w:rFonts w:ascii="Times New Roman" w:hAnsi="Times New Roman" w:cs="Times New Roman"/>
          <w:color w:val="FF0000"/>
          <w:szCs w:val="21"/>
        </w:rPr>
      </w:pPr>
      <w:r>
        <w:rPr>
          <w:rFonts w:ascii="Times New Roman" w:hAnsi="Times New Roman" w:cs="Times New Roman"/>
          <w:szCs w:val="21"/>
        </w:rPr>
        <w:t xml:space="preserve">2. </w:t>
      </w:r>
      <w:r>
        <w:rPr>
          <w:rFonts w:ascii="Times New Roman" w:hAnsi="Times New Roman" w:cs="Times New Roman"/>
          <w:color w:val="FF0000"/>
          <w:szCs w:val="21"/>
        </w:rPr>
        <w:t>应对照磋商文件的要求，逐条说明所提供服务已对磋商文件的服务要求做出了实质性的响应，</w:t>
      </w:r>
      <w:r>
        <w:rPr>
          <w:rFonts w:ascii="Times New Roman" w:hAnsi="Times New Roman" w:cs="Times New Roman"/>
          <w:color w:val="FF0000"/>
          <w:sz w:val="24"/>
          <w:szCs w:val="24"/>
        </w:rPr>
        <w:t>并</w:t>
      </w:r>
      <w:r>
        <w:rPr>
          <w:rFonts w:ascii="Times New Roman" w:hAnsi="Times New Roman" w:cs="Times New Roman"/>
          <w:color w:val="FF0000"/>
          <w:sz w:val="24"/>
        </w:rPr>
        <w:t>说明</w:t>
      </w:r>
      <w:r>
        <w:rPr>
          <w:rFonts w:ascii="Times New Roman" w:hAnsi="Times New Roman" w:cs="Times New Roman"/>
          <w:color w:val="FF0000"/>
          <w:sz w:val="24"/>
          <w:szCs w:val="24"/>
        </w:rPr>
        <w:t>响应</w:t>
      </w:r>
      <w:r>
        <w:rPr>
          <w:rFonts w:ascii="Times New Roman" w:hAnsi="Times New Roman" w:cs="Times New Roman"/>
          <w:color w:val="FF0000"/>
          <w:sz w:val="24"/>
        </w:rPr>
        <w:t>情况</w:t>
      </w:r>
      <w:r>
        <w:rPr>
          <w:rFonts w:ascii="Times New Roman" w:hAnsi="Times New Roman" w:cs="Times New Roman"/>
          <w:color w:val="FF0000"/>
          <w:szCs w:val="21"/>
        </w:rPr>
        <w:t>。如果仅注明“符合”、“满足”或简单复制磋商文件要求，将导致响应文件无效。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附件5</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p>
    <w:p>
      <w:pPr>
        <w:adjustRightInd w:val="0"/>
        <w:snapToGrid w:val="0"/>
        <w:spacing w:line="360" w:lineRule="auto"/>
        <w:rPr>
          <w:rFonts w:ascii="Times New Roman" w:hAnsi="Times New Roman" w:cs="Times New Roman"/>
          <w:b/>
          <w:bCs/>
          <w:sz w:val="24"/>
          <w:szCs w:val="24"/>
        </w:rPr>
      </w:pPr>
      <w:r>
        <w:rPr>
          <w:rFonts w:ascii="Times New Roman" w:hAnsi="Times New Roman" w:cs="Times New Roman"/>
          <w:bCs/>
          <w:sz w:val="24"/>
          <w:szCs w:val="24"/>
        </w:rPr>
        <w:t>附件6</w:t>
      </w:r>
    </w:p>
    <w:p>
      <w:pPr>
        <w:spacing w:line="360" w:lineRule="auto"/>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合同草案条款响应、偏离情况说明表</w:t>
      </w:r>
    </w:p>
    <w:p>
      <w:pPr>
        <w:adjustRightInd w:val="0"/>
        <w:snapToGrid w:val="0"/>
        <w:spacing w:line="360" w:lineRule="auto"/>
        <w:jc w:val="center"/>
        <w:outlineLvl w:val="0"/>
        <w:rPr>
          <w:rFonts w:ascii="Times New Roman" w:hAnsi="Times New Roman" w:cs="Times New Roman"/>
          <w:sz w:val="32"/>
          <w:szCs w:val="32"/>
        </w:rPr>
      </w:pP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2062" w:type="dxa"/>
            <w:vAlign w:val="center"/>
          </w:tcPr>
          <w:p>
            <w:pPr>
              <w:spacing w:line="360" w:lineRule="auto"/>
              <w:ind w:right="-80" w:rightChars="-38"/>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磋商文件要求部分</w:t>
            </w:r>
          </w:p>
        </w:tc>
        <w:tc>
          <w:tcPr>
            <w:tcW w:w="2270" w:type="dxa"/>
            <w:vAlign w:val="center"/>
          </w:tcPr>
          <w:p>
            <w:pPr>
              <w:spacing w:line="360" w:lineRule="auto"/>
              <w:ind w:left="28" w:leftChars="-38" w:right="-80" w:rightChars="-38" w:hanging="108" w:hangingChars="45"/>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响应文件的响应部分</w:t>
            </w:r>
          </w:p>
        </w:tc>
        <w:tc>
          <w:tcPr>
            <w:tcW w:w="1277"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偏离说明</w:t>
            </w:r>
          </w:p>
        </w:tc>
        <w:tc>
          <w:tcPr>
            <w:tcW w:w="2459"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1</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2</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3</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4</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bl>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adjustRightInd w:val="0"/>
        <w:snapToGrid w:val="0"/>
        <w:spacing w:line="360" w:lineRule="auto"/>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pPr>
        <w:spacing w:beforeLines="50" w:afterLines="100" w:line="360" w:lineRule="auto"/>
        <w:rPr>
          <w:rFonts w:ascii="Times New Roman" w:hAnsi="Times New Roman" w:cs="Times New Roman"/>
          <w:sz w:val="24"/>
          <w:szCs w:val="24"/>
        </w:rPr>
      </w:pPr>
    </w:p>
    <w:p>
      <w:pPr>
        <w:spacing w:line="360" w:lineRule="auto"/>
        <w:rPr>
          <w:rFonts w:ascii="Times New Roman" w:hAnsi="Times New Roman" w:cs="Times New Roman"/>
          <w:bCs/>
          <w:sz w:val="24"/>
          <w:szCs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Lines="100" w:after="100" w:afterAutospacing="1"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p>
      <w:pPr>
        <w:spacing w:beforeLines="50" w:afterLines="100" w:line="360" w:lineRule="auto"/>
        <w:rPr>
          <w:rFonts w:ascii="Times New Roman" w:hAnsi="Times New Roman" w:cs="Times New Roman"/>
          <w:bCs/>
          <w:sz w:val="24"/>
          <w:szCs w:val="24"/>
          <w:u w:val="single"/>
        </w:rPr>
      </w:pP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8" w:hRule="atLeast"/>
        </w:trPr>
        <w:tc>
          <w:tcPr>
            <w:tcW w:w="8528" w:type="dxa"/>
          </w:tcPr>
          <w:p>
            <w:pPr>
              <w:spacing w:beforeLines="5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spacing w:line="360" w:lineRule="auto"/>
        <w:rPr>
          <w:rFonts w:ascii="Times New Roman" w:hAnsi="Times New Roman" w:cs="Times New Roman"/>
          <w:bCs/>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附件8</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spacing w:line="360" w:lineRule="auto"/>
        <w:rPr>
          <w:rFonts w:ascii="Times New Roman" w:hAnsi="Times New Roman" w:eastAsia="仿宋_GB2312" w:cs="Times New Roman"/>
          <w:bCs/>
          <w:color w:val="000000"/>
          <w:szCs w:val="28"/>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ind w:left="360" w:hanging="360" w:hangingChars="150"/>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附件9</w:t>
      </w:r>
    </w:p>
    <w:p>
      <w:pPr>
        <w:spacing w:line="360" w:lineRule="auto"/>
        <w:ind w:left="360" w:hanging="360" w:hangingChars="150"/>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spacing w:line="360" w:lineRule="auto"/>
        <w:rPr>
          <w:rFonts w:ascii="Times New Roman" w:hAnsi="Times New Roman" w:eastAsia="仿宋_GB2312" w:cs="Times New Roman"/>
          <w:bCs/>
          <w:color w:val="000000"/>
          <w:szCs w:val="28"/>
        </w:rPr>
      </w:pP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360" w:lineRule="auto"/>
        <w:ind w:left="2" w:leftChars="1" w:firstLine="480" w:firstLineChars="200"/>
        <w:rPr>
          <w:rFonts w:ascii="Times New Roman" w:hAnsi="Times New Roman" w:cs="Times New Roman"/>
          <w:bCs/>
          <w:color w:val="000000" w:themeColor="text1"/>
          <w:sz w:val="24"/>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t>附件10</w:t>
      </w:r>
    </w:p>
    <w:p>
      <w:pPr>
        <w:widowControl/>
        <w:spacing w:line="360" w:lineRule="auto"/>
        <w:jc w:val="left"/>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spacing w:line="360" w:lineRule="auto"/>
        <w:jc w:val="center"/>
        <w:rPr>
          <w:rFonts w:ascii="Times New Roman" w:hAnsi="Times New Roman" w:cs="Times New Roman"/>
          <w:bCs/>
          <w:color w:val="000000"/>
          <w:sz w:val="32"/>
          <w:szCs w:val="32"/>
        </w:rPr>
      </w:pPr>
    </w:p>
    <w:p>
      <w:pPr>
        <w:spacing w:line="360" w:lineRule="auto"/>
        <w:jc w:val="center"/>
        <w:rPr>
          <w:rFonts w:ascii="Times New Roman" w:hAnsi="Times New Roman" w:cs="Times New Roman" w:eastAsiaTheme="majorEastAsia"/>
          <w:bCs/>
          <w:color w:val="000000" w:themeColor="text1"/>
          <w:sz w:val="24"/>
        </w:rPr>
      </w:pPr>
      <w:r>
        <w:rPr>
          <w:rFonts w:ascii="Times New Roman" w:hAnsi="Times New Roman" w:cs="Times New Roman"/>
          <w:bCs/>
          <w:color w:val="000000"/>
          <w:sz w:val="24"/>
        </w:rPr>
        <w:t>（提供履行合同所必需的设备和专业技术能力的相关文件）</w:t>
      </w:r>
    </w:p>
    <w:p>
      <w:pPr>
        <w:widowControl/>
        <w:spacing w:line="360"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附件11</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spacing w:line="360" w:lineRule="auto"/>
        <w:jc w:val="center"/>
        <w:rPr>
          <w:rFonts w:ascii="Times New Roman" w:hAnsi="Times New Roman" w:eastAsia="仿宋_GB2312" w:cs="Times New Roman"/>
          <w:sz w:val="24"/>
        </w:rPr>
      </w:pPr>
    </w:p>
    <w:p>
      <w:pPr>
        <w:spacing w:line="360" w:lineRule="auto"/>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widowControl/>
        <w:spacing w:line="360" w:lineRule="auto"/>
        <w:jc w:val="left"/>
        <w:rPr>
          <w:rFonts w:ascii="Times New Roman" w:hAnsi="Times New Roman" w:cs="Times New Roman" w:eastAsiaTheme="majorEastAsia"/>
          <w:bCs/>
          <w:color w:val="000000" w:themeColor="text1"/>
          <w:sz w:val="32"/>
          <w:szCs w:val="32"/>
        </w:rPr>
      </w:pPr>
      <w:r>
        <w:rPr>
          <w:rFonts w:ascii="Times New Roman" w:hAnsi="Times New Roman" w:cs="Times New Roman" w:eastAsiaTheme="majorEastAsia"/>
          <w:bCs/>
          <w:color w:val="000000" w:themeColor="text1"/>
          <w:sz w:val="32"/>
          <w:szCs w:val="32"/>
        </w:rPr>
        <w:br w:type="page"/>
      </w:r>
    </w:p>
    <w:p>
      <w:pPr>
        <w:widowControl/>
        <w:spacing w:line="360" w:lineRule="auto"/>
        <w:jc w:val="left"/>
        <w:rPr>
          <w:rFonts w:ascii="Times New Roman" w:hAnsi="Times New Roman" w:cs="Times New Roman"/>
          <w:color w:val="000000" w:themeColor="text1"/>
          <w:sz w:val="32"/>
          <w:szCs w:val="32"/>
        </w:rPr>
      </w:pPr>
      <w:r>
        <w:rPr>
          <w:rFonts w:ascii="Times New Roman" w:hAnsi="Times New Roman" w:cs="Times New Roman"/>
          <w:bCs/>
          <w:color w:val="000000" w:themeColor="text1"/>
          <w:sz w:val="24"/>
        </w:rPr>
        <w:t>附件12</w:t>
      </w:r>
    </w:p>
    <w:p>
      <w:pPr>
        <w:adjustRightInd w:val="0"/>
        <w:snapToGrid w:val="0"/>
        <w:spacing w:line="360" w:lineRule="auto"/>
        <w:jc w:val="center"/>
        <w:outlineLvl w:val="0"/>
        <w:rPr>
          <w:rFonts w:ascii="Times New Roman" w:hAnsi="Times New Roman" w:cs="Times New Roman"/>
          <w:color w:val="000000" w:themeColor="text1"/>
          <w:sz w:val="32"/>
          <w:szCs w:val="32"/>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未被列入“信用中国”网站失信被执行人、重大税收违法案件当事人名单、政府采购严重违法失信行为</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记录名单的网页打印件</w:t>
      </w:r>
    </w:p>
    <w:p>
      <w:pPr>
        <w:spacing w:line="360" w:lineRule="auto"/>
        <w:jc w:val="center"/>
        <w:rPr>
          <w:rFonts w:ascii="Times New Roman" w:hAnsi="Times New Roman" w:cs="Times New Roman"/>
          <w:sz w:val="24"/>
        </w:rPr>
      </w:pPr>
    </w:p>
    <w:p>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（供应商自行打印）</w:t>
      </w:r>
    </w:p>
    <w:p>
      <w:pPr>
        <w:spacing w:line="360" w:lineRule="auto"/>
        <w:rPr>
          <w:rFonts w:ascii="Times New Roman" w:hAnsi="Times New Roman" w:cs="Times New Roman"/>
          <w:color w:val="000000" w:themeColor="text1"/>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rPr>
          <w:rFonts w:hint="default" w:eastAsiaTheme="minorEastAsia"/>
          <w:sz w:val="24"/>
          <w:lang w:val="en-US" w:eastAsia="zh-CN"/>
        </w:rPr>
      </w:pPr>
      <w:r>
        <w:rPr>
          <w:rFonts w:hint="eastAsia"/>
          <w:sz w:val="24"/>
        </w:rPr>
        <w:t>附件13</w:t>
      </w:r>
      <w:r>
        <w:rPr>
          <w:rFonts w:hint="eastAsia"/>
          <w:sz w:val="24"/>
          <w:lang w:val="en-US" w:eastAsia="zh-CN"/>
        </w:rPr>
        <w:t>-1</w:t>
      </w:r>
    </w:p>
    <w:p>
      <w:pPr>
        <w:spacing w:line="360" w:lineRule="auto"/>
        <w:rPr>
          <w:sz w:val="24"/>
        </w:rPr>
      </w:pP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sectPr>
          <w:footerReference r:id="rId11" w:type="default"/>
          <w:pgSz w:w="11906" w:h="16838"/>
          <w:pgMar w:top="1440" w:right="1797" w:bottom="1440" w:left="1797" w:header="851" w:footer="992" w:gutter="0"/>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0"/>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797" w:right="1440" w:bottom="1797" w:left="1440" w:header="851" w:footer="992" w:gutter="0"/>
          <w:cols w:space="425" w:num="1"/>
          <w:docGrid w:linePitch="312" w:charSpace="0"/>
        </w:sectPr>
      </w:pPr>
    </w:p>
    <w:p>
      <w:pPr>
        <w:spacing w:line="360" w:lineRule="auto"/>
        <w:rPr>
          <w:sz w:val="24"/>
        </w:rPr>
      </w:pPr>
      <w:r>
        <w:rPr>
          <w:rFonts w:hint="eastAsia"/>
          <w:sz w:val="24"/>
        </w:rPr>
        <w:t>附件1</w:t>
      </w:r>
      <w:r>
        <w:rPr>
          <w:rFonts w:hint="eastAsia"/>
          <w:sz w:val="24"/>
          <w:lang w:val="en-US" w:eastAsia="zh-CN"/>
        </w:rPr>
        <w:t>3</w:t>
      </w:r>
      <w:r>
        <w:rPr>
          <w:rFonts w:hint="eastAsia"/>
          <w:sz w:val="24"/>
        </w:rPr>
        <w:t>-2</w:t>
      </w:r>
    </w:p>
    <w:p>
      <w:pPr>
        <w:spacing w:line="360" w:lineRule="auto"/>
        <w:ind w:firstLine="667"/>
        <w:jc w:val="center"/>
        <w:rPr>
          <w:rFonts w:asciiTheme="majorEastAsia" w:hAnsiTheme="majorEastAsia" w:eastAsiaTheme="majorEastAsia"/>
          <w:b/>
          <w:spacing w:val="6"/>
          <w:sz w:val="32"/>
          <w:szCs w:val="32"/>
        </w:rPr>
      </w:pPr>
      <w:bookmarkStart w:id="51" w:name="OLE_LINK14"/>
      <w:bookmarkStart w:id="52" w:name="OLE_LINK13"/>
      <w:r>
        <w:rPr>
          <w:rFonts w:asciiTheme="majorEastAsia" w:hAnsiTheme="majorEastAsia" w:eastAsiaTheme="majorEastAsia"/>
          <w:b/>
          <w:spacing w:val="6"/>
          <w:sz w:val="32"/>
          <w:szCs w:val="32"/>
        </w:rPr>
        <w:t>残疾人福利性单位声明函</w:t>
      </w:r>
    </w:p>
    <w:bookmarkEnd w:id="51"/>
    <w:bookmarkEnd w:id="52"/>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日  期：</w:t>
      </w:r>
    </w:p>
    <w:p>
      <w:pPr>
        <w:widowControl/>
        <w:spacing w:line="360" w:lineRule="auto"/>
        <w:jc w:val="left"/>
        <w:rPr>
          <w:rFonts w:ascii="宋体" w:hAnsi="宋体"/>
          <w:bCs/>
          <w:color w:val="000000"/>
          <w:sz w:val="32"/>
          <w:szCs w:val="32"/>
        </w:rPr>
      </w:pP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tabs>
          <w:tab w:val="left" w:pos="7665"/>
        </w:tabs>
        <w:spacing w:line="360" w:lineRule="auto"/>
        <w:jc w:val="center"/>
        <w:outlineLvl w:val="1"/>
        <w:rPr>
          <w:color w:val="000000" w:themeColor="text1"/>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spacing w:line="360" w:lineRule="auto"/>
        <w:rPr>
          <w:rFonts w:asciiTheme="majorEastAsia" w:hAnsiTheme="majorEastAsia" w:eastAsiaTheme="majorEastAsia"/>
          <w:sz w:val="24"/>
        </w:rPr>
      </w:pPr>
    </w:p>
    <w:p>
      <w:pPr>
        <w:widowControl/>
        <w:spacing w:line="360" w:lineRule="auto"/>
        <w:jc w:val="left"/>
        <w:rPr>
          <w:rFonts w:ascii="Times New Roman" w:hAnsi="Times New Roman" w:cs="Times New Roman"/>
          <w:bCs/>
          <w:color w:val="000000"/>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w Cen MT Condensed Extra Bold">
    <w:altName w:val="Trebuchet MS"/>
    <w:panose1 w:val="020B0803020202020204"/>
    <w:charset w:val="00"/>
    <w:family w:val="swiss"/>
    <w:pitch w:val="default"/>
    <w:sig w:usb0="00000000" w:usb1="00000000" w:usb2="00000000" w:usb3="00000000" w:csb0="00000003"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14</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7"/>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5C2E"/>
    <w:multiLevelType w:val="multilevel"/>
    <w:tmpl w:val="0E655C2E"/>
    <w:lvl w:ilvl="0" w:tentative="0">
      <w:start w:val="1"/>
      <w:numFmt w:val="chineseCountingThousand"/>
      <w:suff w:val="nothing"/>
      <w:lvlText w:val="%1、"/>
      <w:lvlJc w:val="left"/>
      <w:pPr>
        <w:ind w:left="0" w:firstLine="0"/>
      </w:pPr>
      <w:rPr>
        <w:rFonts w:hint="default" w:ascii="Times New Roman" w:hAnsi="Times New Roman" w:eastAsia="黑体"/>
        <w:b w:val="0"/>
        <w:bCs w:val="0"/>
        <w:i w:val="0"/>
        <w:iCs w:val="0"/>
        <w:caps w:val="0"/>
        <w:smallCaps w:val="0"/>
        <w:strike w:val="0"/>
        <w:dstrike w:val="0"/>
        <w:outline w:val="0"/>
        <w:shadow w:val="0"/>
        <w:emboss w:val="0"/>
        <w:imprint w:val="0"/>
        <w:vanish w:val="0"/>
        <w:spacing w:val="0"/>
        <w:position w:val="0"/>
        <w:sz w:val="32"/>
        <w:u w:val="none"/>
        <w:vertAlign w:val="baseline"/>
      </w:rPr>
    </w:lvl>
    <w:lvl w:ilvl="1" w:tentative="0">
      <w:start w:val="1"/>
      <w:numFmt w:val="decimal"/>
      <w:pStyle w:val="41"/>
      <w:suff w:val="nothing"/>
      <w:lvlText w:val="%2、"/>
      <w:lvlJc w:val="left"/>
      <w:pPr>
        <w:ind w:left="6" w:firstLine="420"/>
      </w:pPr>
      <w:rPr>
        <w:rFonts w:hint="default" w:ascii="Times New Roman" w:hAnsi="Times New Roman" w:cs="Times New Roman"/>
        <w:b/>
        <w:i w:val="0"/>
        <w:sz w:val="24"/>
      </w:rPr>
    </w:lvl>
    <w:lvl w:ilvl="2" w:tentative="0">
      <w:start w:val="1"/>
      <w:numFmt w:val="decimal"/>
      <w:suff w:val="space"/>
      <w:lvlText w:val="%2.%3"/>
      <w:lvlJc w:val="left"/>
      <w:pPr>
        <w:ind w:left="0" w:firstLine="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space"/>
      <w:lvlText w:val="%2.%3.%4"/>
      <w:lvlJc w:val="left"/>
      <w:pPr>
        <w:ind w:left="0" w:firstLine="522"/>
      </w:pPr>
      <w:rPr>
        <w:rFonts w:hint="eastAsia"/>
        <w:b w:val="0"/>
        <w:i w:val="0"/>
      </w:rPr>
    </w:lvl>
    <w:lvl w:ilvl="4" w:tentative="0">
      <w:start w:val="1"/>
      <w:numFmt w:val="lowerLetter"/>
      <w:lvlText w:val="%5)"/>
      <w:lvlJc w:val="left"/>
      <w:pPr>
        <w:ind w:left="0" w:firstLine="400"/>
      </w:pPr>
      <w:rPr>
        <w:rFonts w:hint="eastAsia"/>
      </w:rPr>
    </w:lvl>
    <w:lvl w:ilvl="5" w:tentative="0">
      <w:start w:val="1"/>
      <w:numFmt w:val="decimal"/>
      <w:suff w:val="space"/>
      <w:lvlText w:val="%2.%3.%4.%6"/>
      <w:lvlJc w:val="left"/>
      <w:pPr>
        <w:ind w:left="0" w:firstLine="522"/>
      </w:pPr>
      <w:rPr>
        <w:rFonts w:hint="eastAsia"/>
      </w:rPr>
    </w:lvl>
    <w:lvl w:ilvl="6" w:tentative="0">
      <w:start w:val="1"/>
      <w:numFmt w:val="decimal"/>
      <w:lvlText w:val="%7."/>
      <w:lvlJc w:val="left"/>
      <w:pPr>
        <w:ind w:left="0" w:firstLine="400"/>
      </w:pPr>
      <w:rPr>
        <w:rFonts w:hint="eastAsia"/>
      </w:rPr>
    </w:lvl>
    <w:lvl w:ilvl="7" w:tentative="0">
      <w:start w:val="1"/>
      <w:numFmt w:val="lowerLetter"/>
      <w:lvlText w:val="%8)"/>
      <w:lvlJc w:val="left"/>
      <w:pPr>
        <w:ind w:left="0" w:firstLine="400"/>
      </w:pPr>
      <w:rPr>
        <w:rFonts w:hint="eastAsia"/>
      </w:rPr>
    </w:lvl>
    <w:lvl w:ilvl="8" w:tentative="0">
      <w:start w:val="1"/>
      <w:numFmt w:val="lowerRoman"/>
      <w:lvlText w:val="%9."/>
      <w:lvlJc w:val="right"/>
      <w:pPr>
        <w:ind w:left="0" w:firstLine="400"/>
      </w:pPr>
      <w:rPr>
        <w:rFonts w:hint="eastAsia"/>
      </w:rPr>
    </w:lvl>
  </w:abstractNum>
  <w:abstractNum w:abstractNumId="1">
    <w:nsid w:val="163D690B"/>
    <w:multiLevelType w:val="multilevel"/>
    <w:tmpl w:val="163D690B"/>
    <w:lvl w:ilvl="0" w:tentative="0">
      <w:start w:val="1"/>
      <w:numFmt w:val="chineseCountingThousand"/>
      <w:pStyle w:val="36"/>
      <w:suff w:val="nothing"/>
      <w:lvlText w:val="（%1）"/>
      <w:lvlJc w:val="left"/>
      <w:pPr>
        <w:ind w:left="0" w:firstLine="210"/>
      </w:pPr>
      <w:rPr>
        <w:rFonts w:hint="default" w:ascii="宋体" w:hAnsi="宋体" w:eastAsia="宋体" w:cs="Times New Roman"/>
        <w:sz w:val="24"/>
      </w:rPr>
    </w:lvl>
    <w:lvl w:ilvl="1" w:tentative="0">
      <w:start w:val="1"/>
      <w:numFmt w:val="decimal"/>
      <w:lvlText w:val="%2."/>
      <w:lvlJc w:val="left"/>
      <w:pPr>
        <w:tabs>
          <w:tab w:val="left" w:pos="284"/>
        </w:tabs>
        <w:ind w:left="0" w:firstLine="0"/>
      </w:pPr>
      <w:rPr>
        <w:rFonts w:hint="default" w:cs="Times New Roman"/>
      </w:rPr>
    </w:lvl>
    <w:lvl w:ilvl="2" w:tentative="0">
      <w:start w:val="1"/>
      <w:numFmt w:val="decimal"/>
      <w:lvlText w:val="%1）"/>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
    <w:nsid w:val="209B1603"/>
    <w:multiLevelType w:val="multilevel"/>
    <w:tmpl w:val="209B1603"/>
    <w:lvl w:ilvl="0" w:tentative="0">
      <w:start w:val="1"/>
      <w:numFmt w:val="chineseCountingThousand"/>
      <w:suff w:val="space"/>
      <w:lvlText w:val="第%1章"/>
      <w:lvlJc w:val="left"/>
      <w:pPr>
        <w:ind w:left="0" w:firstLine="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lang w:val="en-US"/>
      </w:rPr>
    </w:lvl>
    <w:lvl w:ilvl="1" w:tentative="0">
      <w:start w:val="1"/>
      <w:numFmt w:val="chineseCountingThousand"/>
      <w:pStyle w:val="34"/>
      <w:suff w:val="nothing"/>
      <w:lvlText w:val="%2、"/>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8"/>
        <w:u w:val="none"/>
        <w:vertAlign w:val="baseline"/>
        <w:lang w:val="en-US"/>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5332A70"/>
    <w:multiLevelType w:val="multilevel"/>
    <w:tmpl w:val="35332A70"/>
    <w:lvl w:ilvl="0" w:tentative="0">
      <w:start w:val="1"/>
      <w:numFmt w:val="chineseCountingThousand"/>
      <w:lvlText w:val="（%1）"/>
      <w:lvlJc w:val="left"/>
      <w:pPr>
        <w:tabs>
          <w:tab w:val="left" w:pos="360"/>
        </w:tabs>
        <w:ind w:left="0" w:firstLine="0"/>
      </w:pPr>
      <w:rPr>
        <w:rFonts w:hint="default" w:ascii="Tw Cen MT Condensed Extra Bold" w:hAnsi="Tw Cen MT Condensed Extra Bold" w:eastAsia="楷体" w:cs="Times New Roman"/>
        <w:sz w:val="24"/>
      </w:rPr>
    </w:lvl>
    <w:lvl w:ilvl="1" w:tentative="0">
      <w:start w:val="1"/>
      <w:numFmt w:val="decimal"/>
      <w:pStyle w:val="40"/>
      <w:suff w:val="space"/>
      <w:lvlText w:val="%2."/>
      <w:lvlJc w:val="left"/>
      <w:pPr>
        <w:ind w:left="0" w:firstLine="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4">
    <w:nsid w:val="410C25ED"/>
    <w:multiLevelType w:val="multilevel"/>
    <w:tmpl w:val="410C25ED"/>
    <w:lvl w:ilvl="0" w:tentative="0">
      <w:start w:val="1"/>
      <w:numFmt w:val="decimal"/>
      <w:pStyle w:val="32"/>
      <w:suff w:val="nothing"/>
      <w:lvlText w:val="（%1）"/>
      <w:lvlJc w:val="left"/>
      <w:pPr>
        <w:ind w:left="6" w:firstLine="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1.%2."/>
      <w:lvlJc w:val="left"/>
      <w:pPr>
        <w:ind w:left="1140" w:hanging="567"/>
      </w:pPr>
      <w:rPr>
        <w:rFonts w:hint="eastAsia"/>
      </w:rPr>
    </w:lvl>
    <w:lvl w:ilvl="2" w:tentative="0">
      <w:start w:val="1"/>
      <w:numFmt w:val="decimal"/>
      <w:lvlText w:val="%1.%2.%3."/>
      <w:lvlJc w:val="left"/>
      <w:pPr>
        <w:ind w:left="1282" w:hanging="709"/>
      </w:pPr>
      <w:rPr>
        <w:rFonts w:hint="eastAsia"/>
      </w:rPr>
    </w:lvl>
    <w:lvl w:ilvl="3" w:tentative="0">
      <w:start w:val="1"/>
      <w:numFmt w:val="decimal"/>
      <w:lvlText w:val="%1.%2.%3.%4."/>
      <w:lvlJc w:val="left"/>
      <w:pPr>
        <w:ind w:left="1424" w:hanging="851"/>
      </w:pPr>
      <w:rPr>
        <w:rFonts w:hint="eastAsia"/>
      </w:rPr>
    </w:lvl>
    <w:lvl w:ilvl="4" w:tentative="0">
      <w:start w:val="1"/>
      <w:numFmt w:val="decimal"/>
      <w:lvlText w:val="%1.%2.%3.%4.%5."/>
      <w:lvlJc w:val="left"/>
      <w:pPr>
        <w:ind w:left="1565" w:hanging="992"/>
      </w:pPr>
      <w:rPr>
        <w:rFonts w:hint="eastAsia"/>
      </w:rPr>
    </w:lvl>
    <w:lvl w:ilvl="5" w:tentative="0">
      <w:start w:val="1"/>
      <w:numFmt w:val="decimal"/>
      <w:lvlText w:val="%1.%2.%3.%4.%5.%6."/>
      <w:lvlJc w:val="left"/>
      <w:pPr>
        <w:ind w:left="1707" w:hanging="1134"/>
      </w:pPr>
      <w:rPr>
        <w:rFonts w:hint="eastAsia"/>
      </w:rPr>
    </w:lvl>
    <w:lvl w:ilvl="6" w:tentative="0">
      <w:start w:val="1"/>
      <w:numFmt w:val="decimal"/>
      <w:lvlText w:val="%1.%2.%3.%4.%5.%6.%7."/>
      <w:lvlJc w:val="left"/>
      <w:pPr>
        <w:ind w:left="1849" w:hanging="1276"/>
      </w:pPr>
      <w:rPr>
        <w:rFonts w:hint="eastAsia"/>
      </w:rPr>
    </w:lvl>
    <w:lvl w:ilvl="7" w:tentative="0">
      <w:start w:val="1"/>
      <w:numFmt w:val="decimal"/>
      <w:lvlText w:val="%1.%2.%3.%4.%5.%6.%7.%8."/>
      <w:lvlJc w:val="left"/>
      <w:pPr>
        <w:ind w:left="1991" w:hanging="1418"/>
      </w:pPr>
      <w:rPr>
        <w:rFonts w:hint="eastAsia"/>
      </w:rPr>
    </w:lvl>
    <w:lvl w:ilvl="8" w:tentative="0">
      <w:start w:val="1"/>
      <w:numFmt w:val="decimal"/>
      <w:lvlText w:val="%1.%2.%3.%4.%5.%6.%7.%8.%9."/>
      <w:lvlJc w:val="left"/>
      <w:pPr>
        <w:ind w:left="2132" w:hanging="1559"/>
      </w:pPr>
      <w:rPr>
        <w:rFonts w:hint="eastAsia"/>
      </w:rPr>
    </w:lvl>
  </w:abstractNum>
  <w:abstractNum w:abstractNumId="5">
    <w:nsid w:val="540B9BF8"/>
    <w:multiLevelType w:val="singleLevel"/>
    <w:tmpl w:val="540B9BF8"/>
    <w:lvl w:ilvl="0" w:tentative="0">
      <w:start w:val="7"/>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1ED9"/>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708B9"/>
    <w:rsid w:val="00A802C9"/>
    <w:rsid w:val="00A81A93"/>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F5B76"/>
    <w:rsid w:val="00F07814"/>
    <w:rsid w:val="00F1043B"/>
    <w:rsid w:val="00F11F71"/>
    <w:rsid w:val="00F1495F"/>
    <w:rsid w:val="00F255ED"/>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2C15A0B"/>
    <w:rsid w:val="08F65F58"/>
    <w:rsid w:val="0A21680E"/>
    <w:rsid w:val="0A8D4392"/>
    <w:rsid w:val="0B783B77"/>
    <w:rsid w:val="0E4B5FCE"/>
    <w:rsid w:val="0F102B23"/>
    <w:rsid w:val="101A23EB"/>
    <w:rsid w:val="10DD46B8"/>
    <w:rsid w:val="12596A35"/>
    <w:rsid w:val="1279795D"/>
    <w:rsid w:val="15981831"/>
    <w:rsid w:val="16C849EF"/>
    <w:rsid w:val="16D20FE6"/>
    <w:rsid w:val="17AD397B"/>
    <w:rsid w:val="1FA53C11"/>
    <w:rsid w:val="246E1DA9"/>
    <w:rsid w:val="265F40BE"/>
    <w:rsid w:val="26B34C7C"/>
    <w:rsid w:val="27467339"/>
    <w:rsid w:val="27541198"/>
    <w:rsid w:val="2B870FC9"/>
    <w:rsid w:val="2F1803D1"/>
    <w:rsid w:val="30F3035C"/>
    <w:rsid w:val="321561CC"/>
    <w:rsid w:val="335602C3"/>
    <w:rsid w:val="33932FCC"/>
    <w:rsid w:val="373C7A4F"/>
    <w:rsid w:val="39C8795C"/>
    <w:rsid w:val="3D205459"/>
    <w:rsid w:val="3E0F72E7"/>
    <w:rsid w:val="405F786F"/>
    <w:rsid w:val="4062290B"/>
    <w:rsid w:val="43E10E72"/>
    <w:rsid w:val="459C34CC"/>
    <w:rsid w:val="45D0177C"/>
    <w:rsid w:val="46471F97"/>
    <w:rsid w:val="4BE2478D"/>
    <w:rsid w:val="4C0D2254"/>
    <w:rsid w:val="4C975461"/>
    <w:rsid w:val="4E286B25"/>
    <w:rsid w:val="4F2F7295"/>
    <w:rsid w:val="50105E33"/>
    <w:rsid w:val="50617644"/>
    <w:rsid w:val="50617968"/>
    <w:rsid w:val="516D3763"/>
    <w:rsid w:val="564748A2"/>
    <w:rsid w:val="5D6B3E61"/>
    <w:rsid w:val="6739223F"/>
    <w:rsid w:val="6A475748"/>
    <w:rsid w:val="79CD384C"/>
    <w:rsid w:val="7BEF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Plain Text"/>
    <w:basedOn w:val="1"/>
    <w:link w:val="30"/>
    <w:qFormat/>
    <w:uiPriority w:val="0"/>
    <w:rPr>
      <w:rFonts w:ascii="宋体" w:hAnsi="Courier New" w:eastAsia="宋体" w:cs="Courier New"/>
      <w:szCs w:val="21"/>
    </w:rPr>
  </w:style>
  <w:style w:type="paragraph" w:styleId="6">
    <w:name w:val="Balloon Text"/>
    <w:basedOn w:val="1"/>
    <w:link w:val="18"/>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5A5A5A"/>
      <w:u w:val="none"/>
    </w:rPr>
  </w:style>
  <w:style w:type="character" w:styleId="14">
    <w:name w:val="Emphasis"/>
    <w:basedOn w:val="12"/>
    <w:qFormat/>
    <w:uiPriority w:val="20"/>
  </w:style>
  <w:style w:type="character" w:styleId="15">
    <w:name w:val="Hyperlink"/>
    <w:basedOn w:val="12"/>
    <w:unhideWhenUsed/>
    <w:qFormat/>
    <w:uiPriority w:val="99"/>
    <w:rPr>
      <w:color w:val="0000FF" w:themeColor="hyperlink"/>
      <w:u w:val="single"/>
    </w:rPr>
  </w:style>
  <w:style w:type="character" w:customStyle="1" w:styleId="16">
    <w:name w:val="页脚 Char"/>
    <w:basedOn w:val="12"/>
    <w:link w:val="7"/>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character" w:customStyle="1" w:styleId="19">
    <w:name w:val="页眉 Char"/>
    <w:basedOn w:val="12"/>
    <w:link w:val="8"/>
    <w:qFormat/>
    <w:uiPriority w:val="99"/>
    <w:rPr>
      <w:sz w:val="18"/>
      <w:szCs w:val="18"/>
    </w:rPr>
  </w:style>
  <w:style w:type="character" w:customStyle="1" w:styleId="20">
    <w:name w:val="font01"/>
    <w:basedOn w:val="12"/>
    <w:qFormat/>
    <w:uiPriority w:val="0"/>
    <w:rPr>
      <w:rFonts w:ascii="Helvetica" w:hAnsi="Helvetica" w:eastAsia="Helvetica" w:cs="Helvetica"/>
      <w:color w:val="000000"/>
      <w:sz w:val="16"/>
      <w:szCs w:val="16"/>
      <w:u w:val="none"/>
    </w:rPr>
  </w:style>
  <w:style w:type="character" w:customStyle="1" w:styleId="21">
    <w:name w:val="font41"/>
    <w:basedOn w:val="12"/>
    <w:qFormat/>
    <w:uiPriority w:val="0"/>
    <w:rPr>
      <w:rFonts w:hint="eastAsia" w:ascii="宋体" w:hAnsi="宋体" w:eastAsia="宋体" w:cs="宋体"/>
      <w:color w:val="000000"/>
      <w:sz w:val="16"/>
      <w:szCs w:val="16"/>
      <w:u w:val="none"/>
    </w:rPr>
  </w:style>
  <w:style w:type="character" w:customStyle="1" w:styleId="22">
    <w:name w:val="font11"/>
    <w:basedOn w:val="12"/>
    <w:qFormat/>
    <w:uiPriority w:val="0"/>
    <w:rPr>
      <w:rFonts w:hint="default" w:ascii="Times New Roman" w:hAnsi="Times New Roman" w:cs="Times New Roman"/>
      <w:color w:val="000000"/>
      <w:sz w:val="16"/>
      <w:szCs w:val="16"/>
      <w:u w:val="none"/>
    </w:rPr>
  </w:style>
  <w:style w:type="character" w:customStyle="1" w:styleId="23">
    <w:name w:val="font21"/>
    <w:basedOn w:val="12"/>
    <w:qFormat/>
    <w:uiPriority w:val="0"/>
    <w:rPr>
      <w:rFonts w:ascii="Helvetica" w:hAnsi="Helvetica" w:eastAsia="Helvetica" w:cs="Helvetica"/>
      <w:color w:val="000000"/>
      <w:sz w:val="16"/>
      <w:szCs w:val="16"/>
      <w:u w:val="none"/>
    </w:rPr>
  </w:style>
  <w:style w:type="character" w:customStyle="1" w:styleId="24">
    <w:name w:val="font51"/>
    <w:basedOn w:val="12"/>
    <w:qFormat/>
    <w:uiPriority w:val="0"/>
    <w:rPr>
      <w:rFonts w:hint="eastAsia" w:ascii="宋体" w:hAnsi="宋体" w:eastAsia="宋体" w:cs="宋体"/>
      <w:color w:val="000000"/>
      <w:sz w:val="16"/>
      <w:szCs w:val="16"/>
      <w:u w:val="none"/>
    </w:rPr>
  </w:style>
  <w:style w:type="character" w:customStyle="1" w:styleId="25">
    <w:name w:val="font31"/>
    <w:basedOn w:val="12"/>
    <w:qFormat/>
    <w:uiPriority w:val="0"/>
    <w:rPr>
      <w:rFonts w:hint="eastAsia" w:ascii="宋体" w:hAnsi="宋体" w:eastAsia="宋体" w:cs="宋体"/>
      <w:color w:val="000000"/>
      <w:sz w:val="16"/>
      <w:szCs w:val="16"/>
      <w:u w:val="none"/>
    </w:rPr>
  </w:style>
  <w:style w:type="character" w:customStyle="1" w:styleId="26">
    <w:name w:val="font61"/>
    <w:basedOn w:val="12"/>
    <w:qFormat/>
    <w:uiPriority w:val="0"/>
    <w:rPr>
      <w:rFonts w:hint="eastAsia" w:ascii="宋体" w:hAnsi="宋体" w:eastAsia="宋体" w:cs="宋体"/>
      <w:color w:val="000000"/>
      <w:sz w:val="16"/>
      <w:szCs w:val="16"/>
      <w:u w:val="none"/>
    </w:rPr>
  </w:style>
  <w:style w:type="character" w:customStyle="1" w:styleId="27">
    <w:name w:val="font71"/>
    <w:basedOn w:val="12"/>
    <w:qFormat/>
    <w:uiPriority w:val="0"/>
    <w:rPr>
      <w:rFonts w:ascii="Helvetica" w:hAnsi="Helvetica" w:eastAsia="Helvetica" w:cs="Helvetica"/>
      <w:color w:val="000000"/>
      <w:sz w:val="16"/>
      <w:szCs w:val="16"/>
      <w:u w:val="none"/>
    </w:rPr>
  </w:style>
  <w:style w:type="character" w:customStyle="1" w:styleId="28">
    <w:name w:val="font91"/>
    <w:basedOn w:val="12"/>
    <w:qFormat/>
    <w:uiPriority w:val="0"/>
    <w:rPr>
      <w:rFonts w:hint="default" w:ascii="Times New Roman" w:hAnsi="Times New Roman" w:cs="Times New Roman"/>
      <w:color w:val="000000"/>
      <w:sz w:val="16"/>
      <w:szCs w:val="16"/>
      <w:u w:val="none"/>
    </w:rPr>
  </w:style>
  <w:style w:type="character" w:customStyle="1" w:styleId="29">
    <w:name w:val="font81"/>
    <w:basedOn w:val="12"/>
    <w:qFormat/>
    <w:uiPriority w:val="0"/>
    <w:rPr>
      <w:rFonts w:hint="eastAsia" w:ascii="宋体" w:hAnsi="宋体" w:eastAsia="宋体" w:cs="宋体"/>
      <w:color w:val="000000"/>
      <w:sz w:val="16"/>
      <w:szCs w:val="16"/>
      <w:u w:val="none"/>
    </w:rPr>
  </w:style>
  <w:style w:type="character" w:customStyle="1" w:styleId="30">
    <w:name w:val="纯文本 Char"/>
    <w:basedOn w:val="12"/>
    <w:link w:val="5"/>
    <w:qFormat/>
    <w:uiPriority w:val="0"/>
    <w:rPr>
      <w:rFonts w:ascii="宋体" w:hAnsi="Courier New" w:cs="Courier New"/>
      <w:kern w:val="2"/>
      <w:sz w:val="21"/>
      <w:szCs w:val="21"/>
    </w:rPr>
  </w:style>
  <w:style w:type="paragraph" w:styleId="31">
    <w:name w:val="List Paragraph"/>
    <w:basedOn w:val="1"/>
    <w:qFormat/>
    <w:uiPriority w:val="99"/>
    <w:pPr>
      <w:ind w:firstLine="420" w:firstLineChars="200"/>
    </w:pPr>
    <w:rPr>
      <w:rFonts w:ascii="Calibri" w:hAnsi="Calibri" w:eastAsia="宋体" w:cs="Times New Roman"/>
      <w:szCs w:val="21"/>
    </w:rPr>
  </w:style>
  <w:style w:type="paragraph" w:customStyle="1" w:styleId="32">
    <w:name w:val="小标题0"/>
    <w:basedOn w:val="33"/>
    <w:qFormat/>
    <w:uiPriority w:val="0"/>
    <w:pPr>
      <w:numPr>
        <w:ilvl w:val="0"/>
        <w:numId w:val="1"/>
      </w:numPr>
      <w:ind w:firstLineChars="0"/>
    </w:pPr>
  </w:style>
  <w:style w:type="paragraph" w:customStyle="1" w:styleId="33">
    <w:name w:val="1、正文"/>
    <w:basedOn w:val="1"/>
    <w:qFormat/>
    <w:uiPriority w:val="0"/>
    <w:pPr>
      <w:spacing w:line="360" w:lineRule="auto"/>
      <w:ind w:firstLine="200" w:firstLineChars="200"/>
    </w:pPr>
    <w:rPr>
      <w:sz w:val="24"/>
      <w:szCs w:val="21"/>
    </w:rPr>
  </w:style>
  <w:style w:type="paragraph" w:customStyle="1" w:styleId="34">
    <w:name w:val="二级标题"/>
    <w:basedOn w:val="33"/>
    <w:next w:val="33"/>
    <w:qFormat/>
    <w:uiPriority w:val="0"/>
    <w:pPr>
      <w:numPr>
        <w:ilvl w:val="1"/>
        <w:numId w:val="2"/>
      </w:numPr>
      <w:spacing w:before="168" w:beforeLines="70" w:after="24" w:afterLines="10"/>
      <w:ind w:firstLineChars="0"/>
      <w:jc w:val="left"/>
      <w:outlineLvl w:val="1"/>
    </w:pPr>
    <w:rPr>
      <w:rFonts w:eastAsia="黑体"/>
      <w:sz w:val="28"/>
    </w:rPr>
  </w:style>
  <w:style w:type="paragraph" w:customStyle="1" w:styleId="35">
    <w:name w:val="_正文段落"/>
    <w:basedOn w:val="1"/>
    <w:qFormat/>
    <w:uiPriority w:val="0"/>
    <w:pPr>
      <w:spacing w:before="120" w:beforeLines="15" w:after="120" w:afterLines="15" w:line="360" w:lineRule="auto"/>
      <w:ind w:firstLine="480" w:firstLineChars="200"/>
    </w:pPr>
    <w:rPr>
      <w:rFonts w:ascii="宋体" w:hAnsi="宋体"/>
      <w:kern w:val="0"/>
      <w:sz w:val="24"/>
    </w:rPr>
  </w:style>
  <w:style w:type="paragraph" w:customStyle="1" w:styleId="36">
    <w:name w:val="辅助2"/>
    <w:basedOn w:val="33"/>
    <w:qFormat/>
    <w:uiPriority w:val="0"/>
    <w:pPr>
      <w:numPr>
        <w:ilvl w:val="0"/>
        <w:numId w:val="3"/>
      </w:numPr>
      <w:ind w:firstLine="0" w:firstLineChars="0"/>
      <w:outlineLvl w:val="2"/>
    </w:pPr>
    <w:rPr>
      <w:szCs w:val="24"/>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is_active"/>
    <w:basedOn w:val="12"/>
    <w:qFormat/>
    <w:uiPriority w:val="0"/>
    <w:rPr>
      <w:color w:val="FFFFFF"/>
      <w:shd w:val="clear" w:fill="F07C17"/>
    </w:rPr>
  </w:style>
  <w:style w:type="character" w:customStyle="1" w:styleId="39">
    <w:name w:val="last-child"/>
    <w:basedOn w:val="12"/>
    <w:qFormat/>
    <w:uiPriority w:val="0"/>
  </w:style>
  <w:style w:type="paragraph" w:customStyle="1" w:styleId="40">
    <w:name w:val="辅助1"/>
    <w:basedOn w:val="41"/>
    <w:qFormat/>
    <w:uiPriority w:val="0"/>
    <w:pPr>
      <w:numPr>
        <w:ilvl w:val="1"/>
        <w:numId w:val="4"/>
      </w:numPr>
      <w:spacing w:before="0" w:beforeLines="0"/>
      <w:jc w:val="both"/>
    </w:pPr>
    <w:rPr>
      <w:rFonts w:ascii="宋体" w:hAnsi="宋体"/>
      <w:b w:val="0"/>
      <w:szCs w:val="24"/>
    </w:rPr>
  </w:style>
  <w:style w:type="paragraph" w:customStyle="1" w:styleId="41">
    <w:name w:val="四级标题"/>
    <w:basedOn w:val="33"/>
    <w:next w:val="33"/>
    <w:qFormat/>
    <w:uiPriority w:val="0"/>
    <w:pPr>
      <w:numPr>
        <w:ilvl w:val="1"/>
        <w:numId w:val="5"/>
      </w:numPr>
      <w:spacing w:before="60" w:beforeLines="60" w:after="10" w:afterLines="10"/>
      <w:ind w:firstLineChars="0"/>
      <w:jc w:val="left"/>
      <w:outlineLvl w:val="3"/>
    </w:pPr>
    <w:rPr>
      <w:b/>
    </w:rPr>
  </w:style>
  <w:style w:type="paragraph" w:customStyle="1" w:styleId="42">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F99F6-F961-49B2-A349-ABDFA68617B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2310</Words>
  <Characters>13172</Characters>
  <Lines>109</Lines>
  <Paragraphs>30</Paragraphs>
  <TotalTime>8</TotalTime>
  <ScaleCrop>false</ScaleCrop>
  <LinksUpToDate>false</LinksUpToDate>
  <CharactersWithSpaces>15452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Administrator</cp:lastModifiedBy>
  <cp:lastPrinted>2017-05-17T08:10:00Z</cp:lastPrinted>
  <dcterms:modified xsi:type="dcterms:W3CDTF">2020-11-09T03:33:59Z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