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jc w:val="left"/>
        <w:rPr>
          <w:b w:val="0"/>
          <w:color w:val="000000" w:themeColor="text1"/>
          <w:sz w:val="28"/>
          <w:szCs w:val="28"/>
          <w14:textFill>
            <w14:solidFill>
              <w14:schemeClr w14:val="tx1"/>
            </w14:solidFill>
          </w14:textFill>
        </w:rPr>
      </w:pPr>
      <w:r>
        <w:rPr>
          <w:rFonts w:hint="eastAsia"/>
          <w:b w:val="0"/>
          <w:color w:val="000000" w:themeColor="text1"/>
          <w:sz w:val="28"/>
          <w:szCs w:val="28"/>
          <w14:textFill>
            <w14:solidFill>
              <w14:schemeClr w14:val="tx1"/>
            </w14:solidFill>
          </w14:textFill>
        </w:rPr>
        <w:t>附件1：</w:t>
      </w:r>
    </w:p>
    <w:p>
      <w:pPr>
        <w:pStyle w:val="8"/>
        <w:rPr>
          <w:color w:val="000000" w:themeColor="text1"/>
          <w:sz w:val="40"/>
          <w:szCs w:val="44"/>
          <w14:textFill>
            <w14:solidFill>
              <w14:schemeClr w14:val="tx1"/>
            </w14:solidFill>
          </w14:textFill>
        </w:rPr>
      </w:pPr>
      <w:r>
        <w:rPr>
          <w:rFonts w:hint="eastAsia"/>
          <w:color w:val="000000" w:themeColor="text1"/>
          <w:sz w:val="36"/>
          <w:szCs w:val="40"/>
          <w14:textFill>
            <w14:solidFill>
              <w14:schemeClr w14:val="tx1"/>
            </w14:solidFill>
          </w14:textFill>
        </w:rPr>
        <w:t>阳新县浮屠镇边良村农村公路改造工程</w:t>
      </w:r>
      <w:r>
        <w:rPr>
          <w:rFonts w:hint="eastAsia"/>
          <w:color w:val="000000" w:themeColor="text1"/>
          <w:sz w:val="40"/>
          <w:szCs w:val="44"/>
          <w14:textFill>
            <w14:solidFill>
              <w14:schemeClr w14:val="tx1"/>
            </w14:solidFill>
          </w14:textFill>
        </w:rPr>
        <w:t>采购需求</w:t>
      </w:r>
    </w:p>
    <w:p>
      <w:pPr>
        <w:pStyle w:val="2"/>
        <w:rPr>
          <w:rFonts w:ascii="黑体" w:hAnsi="黑体" w:eastAsia="黑体"/>
          <w:b/>
          <w:sz w:val="28"/>
          <w:szCs w:val="32"/>
        </w:rPr>
      </w:pPr>
    </w:p>
    <w:p>
      <w:pPr>
        <w:ind w:firstLine="964" w:firstLineChars="300"/>
        <w:jc w:val="left"/>
        <w:rPr>
          <w:rFonts w:ascii="黑体" w:hAnsi="黑体" w:eastAsia="黑体"/>
          <w:b/>
          <w:bCs/>
          <w:sz w:val="32"/>
          <w:szCs w:val="36"/>
        </w:rPr>
      </w:pPr>
      <w:r>
        <w:rPr>
          <w:rFonts w:hint="eastAsia" w:ascii="黑体" w:hAnsi="黑体" w:eastAsia="黑体"/>
          <w:b/>
          <w:bCs/>
          <w:sz w:val="32"/>
          <w:szCs w:val="36"/>
        </w:rPr>
        <w:t>招 标 人：阳新县浮屠镇人民政府</w:t>
      </w:r>
    </w:p>
    <w:p>
      <w:pPr>
        <w:ind w:firstLine="964" w:firstLineChars="300"/>
        <w:jc w:val="left"/>
        <w:rPr>
          <w:rFonts w:ascii="黑体" w:hAnsi="黑体" w:eastAsia="黑体"/>
          <w:b/>
          <w:bCs/>
          <w:sz w:val="32"/>
          <w:szCs w:val="36"/>
        </w:rPr>
      </w:pPr>
      <w:r>
        <w:rPr>
          <w:rFonts w:hint="eastAsia" w:ascii="黑体" w:hAnsi="黑体" w:eastAsia="黑体"/>
          <w:b/>
          <w:bCs/>
          <w:sz w:val="32"/>
          <w:szCs w:val="36"/>
        </w:rPr>
        <w:t>联 系 人：方依志</w:t>
      </w:r>
    </w:p>
    <w:p>
      <w:pPr>
        <w:ind w:firstLine="964" w:firstLineChars="300"/>
        <w:jc w:val="left"/>
        <w:rPr>
          <w:rFonts w:ascii="黑体" w:hAnsi="黑体" w:eastAsia="黑体"/>
          <w:b/>
          <w:bCs/>
          <w:sz w:val="32"/>
          <w:szCs w:val="36"/>
        </w:rPr>
      </w:pPr>
      <w:r>
        <w:rPr>
          <w:rFonts w:hint="eastAsia" w:ascii="黑体" w:hAnsi="黑体" w:eastAsia="黑体"/>
          <w:b/>
          <w:bCs/>
          <w:sz w:val="32"/>
          <w:szCs w:val="36"/>
        </w:rPr>
        <w:t>联系电话：</w:t>
      </w:r>
      <w:r>
        <w:rPr>
          <w:rFonts w:ascii="黑体" w:hAnsi="黑体" w:eastAsia="黑体"/>
          <w:b/>
          <w:bCs/>
          <w:sz w:val="32"/>
          <w:szCs w:val="36"/>
        </w:rPr>
        <w:t>1</w:t>
      </w:r>
      <w:r>
        <w:rPr>
          <w:rFonts w:hint="eastAsia" w:ascii="黑体" w:hAnsi="黑体" w:eastAsia="黑体"/>
          <w:b/>
          <w:bCs/>
          <w:sz w:val="32"/>
          <w:szCs w:val="36"/>
        </w:rPr>
        <w:t>3986597570</w:t>
      </w:r>
    </w:p>
    <w:p>
      <w:pPr>
        <w:ind w:firstLine="964" w:firstLineChars="300"/>
        <w:jc w:val="left"/>
        <w:rPr>
          <w:rFonts w:ascii="黑体" w:hAnsi="黑体" w:eastAsia="黑体"/>
          <w:b/>
          <w:bCs/>
          <w:sz w:val="28"/>
          <w:szCs w:val="32"/>
        </w:rPr>
      </w:pPr>
      <w:r>
        <w:rPr>
          <w:rFonts w:hint="eastAsia" w:ascii="黑体" w:hAnsi="黑体" w:eastAsia="黑体"/>
          <w:b/>
          <w:bCs/>
          <w:sz w:val="32"/>
          <w:szCs w:val="36"/>
        </w:rPr>
        <w:t>采购方式：竞争性磋商</w:t>
      </w:r>
    </w:p>
    <w:p>
      <w:pPr>
        <w:pStyle w:val="12"/>
        <w:ind w:firstLine="0" w:firstLineChars="0"/>
      </w:pPr>
    </w:p>
    <w:p>
      <w:pPr>
        <w:pStyle w:val="5"/>
        <w:jc w:val="center"/>
      </w:pPr>
      <w:bookmarkStart w:id="0" w:name="_Toc480553174"/>
      <w:r>
        <w:rPr>
          <w:rFonts w:hint="eastAsia"/>
        </w:rPr>
        <w:t>采购项目技术规格、参数及要求</w:t>
      </w:r>
      <w:bookmarkEnd w:id="0"/>
    </w:p>
    <w:p>
      <w:pPr>
        <w:spacing w:line="360" w:lineRule="auto"/>
        <w:rPr>
          <w:rFonts w:ascii="宋体" w:hAnsi="宋体"/>
          <w:bCs/>
          <w:kern w:val="44"/>
          <w:sz w:val="24"/>
        </w:rPr>
      </w:pPr>
      <w:r>
        <w:rPr>
          <w:rFonts w:hint="eastAsia" w:ascii="宋体" w:hAnsi="宋体"/>
          <w:bCs/>
          <w:kern w:val="44"/>
          <w:sz w:val="24"/>
        </w:rPr>
        <w:t>1、采购内容：</w:t>
      </w:r>
      <w:r>
        <w:rPr>
          <w:rFonts w:hint="eastAsia" w:ascii="宋体" w:hAnsi="宋体" w:cs="宋体"/>
          <w:color w:val="333333"/>
          <w:kern w:val="0"/>
          <w:sz w:val="24"/>
          <w:szCs w:val="24"/>
        </w:rPr>
        <w:t>阳新县浮屠镇边良村农村公路改造工程</w:t>
      </w:r>
    </w:p>
    <w:p>
      <w:pPr>
        <w:spacing w:line="360" w:lineRule="auto"/>
        <w:rPr>
          <w:rFonts w:ascii="宋体" w:hAnsi="宋体"/>
          <w:bCs/>
          <w:kern w:val="44"/>
          <w:sz w:val="24"/>
        </w:rPr>
      </w:pPr>
      <w:r>
        <w:rPr>
          <w:rFonts w:hint="eastAsia" w:ascii="宋体" w:hAnsi="宋体"/>
          <w:bCs/>
          <w:kern w:val="44"/>
          <w:sz w:val="24"/>
        </w:rPr>
        <w:t>2、工期：</w:t>
      </w:r>
      <w:r>
        <w:rPr>
          <w:rFonts w:hint="eastAsia"/>
          <w:sz w:val="24"/>
        </w:rPr>
        <w:t>合同签订后</w:t>
      </w:r>
      <w:r>
        <w:rPr>
          <w:rFonts w:hint="eastAsia" w:ascii="宋体" w:hAnsi="宋体"/>
          <w:bCs/>
          <w:kern w:val="44"/>
          <w:sz w:val="24"/>
          <w:u w:val="single"/>
        </w:rPr>
        <w:t>60</w:t>
      </w:r>
      <w:r>
        <w:rPr>
          <w:rFonts w:hint="eastAsia" w:ascii="宋体" w:hAnsi="宋体"/>
          <w:bCs/>
          <w:kern w:val="44"/>
          <w:sz w:val="24"/>
        </w:rPr>
        <w:t>日历天。开工时间以建设单位开工令为准。</w:t>
      </w:r>
    </w:p>
    <w:p>
      <w:pPr>
        <w:spacing w:line="360" w:lineRule="auto"/>
        <w:rPr>
          <w:rFonts w:ascii="宋体" w:hAnsi="宋体"/>
          <w:bCs/>
          <w:kern w:val="44"/>
          <w:sz w:val="24"/>
        </w:rPr>
      </w:pPr>
      <w:r>
        <w:rPr>
          <w:rFonts w:hint="eastAsia" w:ascii="宋体" w:hAnsi="宋体"/>
          <w:bCs/>
          <w:kern w:val="44"/>
          <w:sz w:val="24"/>
        </w:rPr>
        <w:t>3、施工地点：阳新县浮屠镇</w:t>
      </w:r>
    </w:p>
    <w:p>
      <w:pPr>
        <w:spacing w:line="360" w:lineRule="auto"/>
        <w:rPr>
          <w:rFonts w:ascii="宋体" w:hAnsi="宋体"/>
          <w:bCs/>
          <w:kern w:val="44"/>
          <w:sz w:val="24"/>
        </w:rPr>
      </w:pPr>
      <w:r>
        <w:rPr>
          <w:rFonts w:hint="eastAsia" w:ascii="宋体" w:hAnsi="宋体"/>
          <w:bCs/>
          <w:kern w:val="44"/>
          <w:sz w:val="24"/>
        </w:rPr>
        <w:t>4、采购预算：173.380095万元，超过预算作无效投标处理。</w:t>
      </w:r>
    </w:p>
    <w:p>
      <w:pPr>
        <w:spacing w:line="360" w:lineRule="auto"/>
        <w:rPr>
          <w:rFonts w:ascii="宋体" w:hAnsi="宋体"/>
          <w:bCs/>
          <w:kern w:val="44"/>
          <w:sz w:val="24"/>
        </w:rPr>
      </w:pPr>
      <w:r>
        <w:rPr>
          <w:rFonts w:hint="eastAsia" w:ascii="宋体" w:hAnsi="宋体"/>
          <w:bCs/>
          <w:kern w:val="44"/>
          <w:sz w:val="24"/>
        </w:rPr>
        <w:t>5、质量目标：达到国家规定的验收合格标准</w:t>
      </w:r>
    </w:p>
    <w:p>
      <w:pPr>
        <w:spacing w:line="360" w:lineRule="auto"/>
        <w:rPr>
          <w:rFonts w:ascii="宋体" w:hAnsi="宋体"/>
          <w:bCs/>
          <w:kern w:val="44"/>
          <w:sz w:val="24"/>
        </w:rPr>
      </w:pPr>
      <w:r>
        <w:rPr>
          <w:rFonts w:hint="eastAsia" w:ascii="宋体" w:hAnsi="宋体"/>
          <w:bCs/>
          <w:kern w:val="44"/>
          <w:sz w:val="24"/>
        </w:rPr>
        <w:t>6、工程量清单见附件。</w:t>
      </w:r>
    </w:p>
    <w:p>
      <w:pPr>
        <w:spacing w:line="360" w:lineRule="auto"/>
        <w:rPr>
          <w:rFonts w:ascii="宋体" w:hAnsi="宋体"/>
          <w:bCs/>
          <w:kern w:val="44"/>
          <w:sz w:val="24"/>
        </w:rPr>
      </w:pPr>
      <w:r>
        <w:rPr>
          <w:rFonts w:hint="eastAsia" w:ascii="宋体" w:hAnsi="宋体"/>
          <w:bCs/>
          <w:kern w:val="44"/>
          <w:sz w:val="24"/>
        </w:rPr>
        <w:t>7、付款方式：以双方协商为准。</w:t>
      </w:r>
    </w:p>
    <w:p>
      <w:pPr>
        <w:pStyle w:val="2"/>
      </w:pPr>
    </w:p>
    <w:p>
      <w:pPr>
        <w:pStyle w:val="2"/>
      </w:pPr>
    </w:p>
    <w:p>
      <w:pPr>
        <w:pStyle w:val="2"/>
      </w:pPr>
      <w:r>
        <w:rPr>
          <w:rFonts w:hint="eastAsia"/>
        </w:rPr>
        <w:t>工程量清单及图纸电子版:</w:t>
      </w:r>
    </w:p>
    <w:p>
      <w:pPr>
        <w:pStyle w:val="2"/>
      </w:pPr>
    </w:p>
    <w:p>
      <w:pPr>
        <w:pStyle w:val="2"/>
      </w:pPr>
      <w:r>
        <w:object>
          <v:shape id="_x0000_i1025" o:spt="75" type="#_x0000_t75" style="height:37.1pt;width:65.4pt;" o:ole="t" filled="f" o:preferrelative="t" stroked="f" coordsize="21600,21600">
            <v:path/>
            <v:fill on="f" focussize="0,0"/>
            <v:stroke on="f"/>
            <v:imagedata r:id="rId5" o:title=""/>
            <o:lock v:ext="edit" aspectratio="t"/>
            <w10:wrap type="none"/>
            <w10:anchorlock/>
          </v:shape>
          <o:OLEObject Type="Embed" ProgID="Package" ShapeID="_x0000_i1025" DrawAspect="Content" ObjectID="_1468075725" r:id="rId4">
            <o:LockedField>false</o:LockedField>
          </o:OLEObject>
        </w:object>
      </w:r>
    </w:p>
    <w:p>
      <w:pPr>
        <w:pStyle w:val="2"/>
      </w:pPr>
    </w:p>
    <w:p>
      <w:pPr>
        <w:pStyle w:val="2"/>
      </w:pPr>
    </w:p>
    <w:p>
      <w:pPr>
        <w:pStyle w:val="2"/>
      </w:pPr>
    </w:p>
    <w:p>
      <w:pPr>
        <w:pStyle w:val="2"/>
      </w:pPr>
    </w:p>
    <w:p>
      <w:pPr>
        <w:pStyle w:val="2"/>
      </w:pPr>
    </w:p>
    <w:p>
      <w:pPr>
        <w:pStyle w:val="2"/>
      </w:pPr>
    </w:p>
    <w:p>
      <w:pPr>
        <w:adjustRightInd w:val="0"/>
        <w:snapToGrid w:val="0"/>
        <w:spacing w:line="360" w:lineRule="exact"/>
        <w:rPr>
          <w:color w:val="000000"/>
          <w:sz w:val="24"/>
          <w:lang w:val="zh-CN"/>
        </w:rPr>
      </w:pPr>
      <w:r>
        <w:rPr>
          <w:rFonts w:hint="eastAsia"/>
          <w:color w:val="000000"/>
          <w:sz w:val="24"/>
          <w:lang w:val="zh-CN"/>
        </w:rPr>
        <w:t>附件2</w:t>
      </w:r>
    </w:p>
    <w:p>
      <w:pPr>
        <w:jc w:val="center"/>
        <w:rPr>
          <w:b/>
          <w:sz w:val="24"/>
          <w:szCs w:val="20"/>
        </w:rPr>
      </w:pPr>
      <w:r>
        <w:rPr>
          <w:rFonts w:hint="eastAsia"/>
          <w:b/>
          <w:sz w:val="24"/>
          <w:szCs w:val="20"/>
        </w:rPr>
        <w:t>评分标准</w:t>
      </w:r>
    </w:p>
    <w:tbl>
      <w:tblPr>
        <w:tblStyle w:val="9"/>
        <w:tblW w:w="903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134"/>
        <w:gridCol w:w="709"/>
        <w:gridCol w:w="5670"/>
        <w:gridCol w:w="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17" w:type="dxa"/>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评审因素</w:t>
            </w:r>
          </w:p>
        </w:tc>
        <w:tc>
          <w:tcPr>
            <w:tcW w:w="709" w:type="dxa"/>
            <w:vAlign w:val="center"/>
          </w:tcPr>
          <w:p>
            <w:pPr>
              <w:rPr>
                <w:rFonts w:asciiTheme="minorEastAsia" w:hAnsiTheme="minorEastAsia"/>
                <w:szCs w:val="21"/>
              </w:rPr>
            </w:pPr>
            <w:r>
              <w:rPr>
                <w:rFonts w:hint="eastAsia" w:asciiTheme="minorEastAsia" w:hAnsiTheme="minorEastAsia"/>
                <w:szCs w:val="21"/>
              </w:rPr>
              <w:t>分值</w:t>
            </w:r>
          </w:p>
        </w:tc>
        <w:tc>
          <w:tcPr>
            <w:tcW w:w="5670" w:type="dxa"/>
            <w:vAlign w:val="center"/>
          </w:tcPr>
          <w:p>
            <w:pPr>
              <w:rPr>
                <w:rFonts w:asciiTheme="minorEastAsia" w:hAnsiTheme="minorEastAsia"/>
                <w:szCs w:val="21"/>
              </w:rPr>
            </w:pPr>
            <w:r>
              <w:rPr>
                <w:rFonts w:hint="eastAsia" w:asciiTheme="minorEastAsia" w:hAnsiTheme="minorEastAsia"/>
                <w:szCs w:val="21"/>
              </w:rPr>
              <w:t>评分标准</w:t>
            </w:r>
          </w:p>
        </w:tc>
        <w:tc>
          <w:tcPr>
            <w:tcW w:w="709" w:type="dxa"/>
            <w:vAlign w:val="center"/>
          </w:tcPr>
          <w:p>
            <w:pPr>
              <w:rPr>
                <w:rFonts w:asciiTheme="minorEastAsia" w:hAnsiTheme="minorEastAsia"/>
                <w:szCs w:val="21"/>
              </w:rPr>
            </w:pPr>
            <w:r>
              <w:rPr>
                <w:rFonts w:hint="eastAsia" w:asciiTheme="minorEastAsia" w:hAnsiTheme="minorEastAsia"/>
                <w:szCs w:val="21"/>
              </w:rPr>
              <w:t>因素</w:t>
            </w:r>
          </w:p>
          <w:p>
            <w:pPr>
              <w:rPr>
                <w:rFonts w:asciiTheme="minorEastAsia" w:hAnsiTheme="minorEastAsia"/>
                <w:szCs w:val="21"/>
              </w:rPr>
            </w:pPr>
            <w:r>
              <w:rPr>
                <w:rFonts w:hint="eastAsia" w:asciiTheme="minorEastAsia" w:hAnsiTheme="minorEastAsia"/>
                <w:szCs w:val="21"/>
              </w:rPr>
              <w:t>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9" w:hRule="atLeast"/>
        </w:trPr>
        <w:tc>
          <w:tcPr>
            <w:tcW w:w="817" w:type="dxa"/>
          </w:tcPr>
          <w:p>
            <w:pPr>
              <w:rPr>
                <w:rFonts w:asciiTheme="minorEastAsia" w:hAnsiTheme="minorEastAsia"/>
                <w:szCs w:val="21"/>
              </w:rPr>
            </w:pPr>
            <w:r>
              <w:rPr>
                <w:rFonts w:hint="eastAsia" w:asciiTheme="minorEastAsia" w:hAnsiTheme="minorEastAsia"/>
                <w:szCs w:val="21"/>
              </w:rPr>
              <w:t>商务</w:t>
            </w:r>
          </w:p>
          <w:p>
            <w:pPr>
              <w:rPr>
                <w:rFonts w:asciiTheme="minorEastAsia" w:hAnsiTheme="minorEastAsia"/>
                <w:szCs w:val="21"/>
              </w:rPr>
            </w:pPr>
            <w:r>
              <w:rPr>
                <w:rFonts w:hint="eastAsia" w:asciiTheme="minorEastAsia" w:hAnsiTheme="minorEastAsia"/>
                <w:szCs w:val="21"/>
              </w:rPr>
              <w:t>报价</w:t>
            </w:r>
          </w:p>
          <w:p>
            <w:pPr>
              <w:rPr>
                <w:rFonts w:asciiTheme="minorEastAsia" w:hAnsiTheme="minorEastAsia"/>
                <w:szCs w:val="21"/>
              </w:rPr>
            </w:pPr>
            <w:r>
              <w:rPr>
                <w:rFonts w:hint="eastAsia" w:asciiTheme="minorEastAsia" w:hAnsiTheme="minorEastAsia"/>
                <w:szCs w:val="21"/>
              </w:rPr>
              <w:t>（30分）</w:t>
            </w:r>
          </w:p>
        </w:tc>
        <w:tc>
          <w:tcPr>
            <w:tcW w:w="1134" w:type="dxa"/>
          </w:tcPr>
          <w:p>
            <w:pPr>
              <w:rPr>
                <w:rFonts w:asciiTheme="minorEastAsia" w:hAnsiTheme="minorEastAsia"/>
                <w:szCs w:val="21"/>
              </w:rPr>
            </w:pPr>
          </w:p>
          <w:p>
            <w:pPr>
              <w:rPr>
                <w:rFonts w:asciiTheme="minorEastAsia" w:hAnsiTheme="minorEastAsia"/>
                <w:szCs w:val="21"/>
              </w:rPr>
            </w:pPr>
          </w:p>
          <w:p>
            <w:pPr>
              <w:rPr>
                <w:rFonts w:asciiTheme="minorEastAsia" w:hAnsiTheme="minorEastAsia"/>
                <w:szCs w:val="21"/>
              </w:rPr>
            </w:pPr>
          </w:p>
          <w:p>
            <w:pPr>
              <w:rPr>
                <w:rFonts w:asciiTheme="minorEastAsia" w:hAnsiTheme="minorEastAsia"/>
                <w:szCs w:val="21"/>
              </w:rPr>
            </w:pPr>
            <w:r>
              <w:rPr>
                <w:rFonts w:hint="eastAsia" w:asciiTheme="minorEastAsia" w:hAnsiTheme="minorEastAsia"/>
                <w:szCs w:val="21"/>
              </w:rPr>
              <w:t>报价得分</w:t>
            </w:r>
          </w:p>
        </w:tc>
        <w:tc>
          <w:tcPr>
            <w:tcW w:w="709" w:type="dxa"/>
            <w:vAlign w:val="center"/>
          </w:tcPr>
          <w:p>
            <w:pPr>
              <w:rPr>
                <w:rFonts w:asciiTheme="minorEastAsia" w:hAnsiTheme="minorEastAsia"/>
                <w:szCs w:val="21"/>
              </w:rPr>
            </w:pPr>
            <w:r>
              <w:rPr>
                <w:rFonts w:hint="eastAsia" w:asciiTheme="minorEastAsia" w:hAnsiTheme="minorEastAsia"/>
                <w:szCs w:val="21"/>
              </w:rPr>
              <w:t>30</w:t>
            </w:r>
          </w:p>
        </w:tc>
        <w:tc>
          <w:tcPr>
            <w:tcW w:w="5670" w:type="dxa"/>
          </w:tcPr>
          <w:p>
            <w:pPr>
              <w:rPr>
                <w:rFonts w:asciiTheme="minorEastAsia" w:hAnsiTheme="minorEastAsia"/>
                <w:szCs w:val="21"/>
              </w:rPr>
            </w:pPr>
            <w:r>
              <w:rPr>
                <w:rFonts w:hint="eastAsia" w:asciiTheme="minorEastAsia" w:hAnsiTheme="minorEastAsia"/>
                <w:szCs w:val="21"/>
              </w:rPr>
              <w:t>综合评分法中的价格分统一采用低价优先法计算，即满足磋商文件要求且最后报价最低的供应商的价格为磋商基准价，其价格分为满分。其他供应商的价格分统一按照下列公式计算：磋商报价得分=（磋商基准价/最后磋商报价）×价格权值×100　　</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17" w:type="dxa"/>
            <w:vMerge w:val="restart"/>
            <w:vAlign w:val="center"/>
          </w:tcPr>
          <w:p>
            <w:pPr>
              <w:rPr>
                <w:rFonts w:asciiTheme="minorEastAsia" w:hAnsiTheme="minorEastAsia"/>
                <w:szCs w:val="21"/>
              </w:rPr>
            </w:pPr>
            <w:r>
              <w:rPr>
                <w:rFonts w:hint="eastAsia" w:asciiTheme="minorEastAsia" w:hAnsiTheme="minorEastAsia"/>
                <w:szCs w:val="21"/>
              </w:rPr>
              <w:t>技</w:t>
            </w:r>
          </w:p>
          <w:p>
            <w:pPr>
              <w:rPr>
                <w:rFonts w:asciiTheme="minorEastAsia" w:hAnsiTheme="minorEastAsia"/>
                <w:szCs w:val="21"/>
              </w:rPr>
            </w:pPr>
            <w:r>
              <w:rPr>
                <w:rFonts w:hint="eastAsia" w:asciiTheme="minorEastAsia" w:hAnsiTheme="minorEastAsia"/>
                <w:szCs w:val="21"/>
              </w:rPr>
              <w:t>术</w:t>
            </w:r>
          </w:p>
          <w:p>
            <w:pPr>
              <w:rPr>
                <w:rFonts w:asciiTheme="minorEastAsia" w:hAnsiTheme="minorEastAsia"/>
                <w:szCs w:val="21"/>
              </w:rPr>
            </w:pPr>
            <w:r>
              <w:rPr>
                <w:rFonts w:hint="eastAsia" w:asciiTheme="minorEastAsia" w:hAnsiTheme="minorEastAsia"/>
                <w:szCs w:val="21"/>
              </w:rPr>
              <w:t>服</w:t>
            </w:r>
          </w:p>
          <w:p>
            <w:pPr>
              <w:rPr>
                <w:rFonts w:asciiTheme="minorEastAsia" w:hAnsiTheme="minorEastAsia"/>
                <w:szCs w:val="21"/>
              </w:rPr>
            </w:pPr>
            <w:r>
              <w:rPr>
                <w:rFonts w:hint="eastAsia" w:asciiTheme="minorEastAsia" w:hAnsiTheme="minorEastAsia"/>
                <w:szCs w:val="21"/>
              </w:rPr>
              <w:t>务</w:t>
            </w:r>
          </w:p>
          <w:p>
            <w:pPr>
              <w:rPr>
                <w:rFonts w:asciiTheme="minorEastAsia" w:hAnsiTheme="minorEastAsia"/>
                <w:szCs w:val="21"/>
              </w:rPr>
            </w:pPr>
            <w:r>
              <w:rPr>
                <w:rFonts w:hint="eastAsia" w:asciiTheme="minorEastAsia" w:hAnsiTheme="minorEastAsia"/>
                <w:szCs w:val="21"/>
              </w:rPr>
              <w:t>评</w:t>
            </w:r>
          </w:p>
          <w:p>
            <w:pPr>
              <w:rPr>
                <w:rFonts w:asciiTheme="minorEastAsia" w:hAnsiTheme="minorEastAsia"/>
                <w:szCs w:val="21"/>
              </w:rPr>
            </w:pPr>
            <w:r>
              <w:rPr>
                <w:rFonts w:hint="eastAsia" w:asciiTheme="minorEastAsia" w:hAnsiTheme="minorEastAsia"/>
                <w:szCs w:val="21"/>
              </w:rPr>
              <w:t>议</w:t>
            </w:r>
          </w:p>
          <w:p>
            <w:pPr>
              <w:rPr>
                <w:rFonts w:asciiTheme="minorEastAsia" w:hAnsiTheme="minorEastAsia"/>
                <w:szCs w:val="21"/>
              </w:rPr>
            </w:pPr>
            <w:r>
              <w:rPr>
                <w:rFonts w:hint="eastAsia" w:asciiTheme="minorEastAsia" w:hAnsiTheme="minorEastAsia"/>
                <w:szCs w:val="21"/>
              </w:rPr>
              <w:t>（55分）</w:t>
            </w:r>
          </w:p>
        </w:tc>
        <w:tc>
          <w:tcPr>
            <w:tcW w:w="1134" w:type="dxa"/>
            <w:vAlign w:val="center"/>
          </w:tcPr>
          <w:p>
            <w:pPr>
              <w:rPr>
                <w:rFonts w:asciiTheme="minorEastAsia" w:hAnsiTheme="minorEastAsia"/>
                <w:szCs w:val="21"/>
              </w:rPr>
            </w:pPr>
            <w:r>
              <w:rPr>
                <w:rFonts w:hint="eastAsia" w:asciiTheme="minorEastAsia" w:hAnsiTheme="minorEastAsia"/>
                <w:szCs w:val="21"/>
              </w:rPr>
              <w:t>施工方案</w:t>
            </w:r>
          </w:p>
        </w:tc>
        <w:tc>
          <w:tcPr>
            <w:tcW w:w="709" w:type="dxa"/>
            <w:vAlign w:val="center"/>
          </w:tcPr>
          <w:p>
            <w:pPr>
              <w:rPr>
                <w:rFonts w:asciiTheme="minorEastAsia" w:hAnsiTheme="minorEastAsia"/>
                <w:szCs w:val="21"/>
              </w:rPr>
            </w:pPr>
            <w:r>
              <w:rPr>
                <w:rFonts w:hint="eastAsia" w:asciiTheme="minorEastAsia" w:hAnsiTheme="minorEastAsia"/>
                <w:szCs w:val="21"/>
              </w:rPr>
              <w:t>10</w:t>
            </w:r>
          </w:p>
        </w:tc>
        <w:tc>
          <w:tcPr>
            <w:tcW w:w="5670" w:type="dxa"/>
            <w:vAlign w:val="center"/>
          </w:tcPr>
          <w:p>
            <w:pPr>
              <w:rPr>
                <w:rFonts w:asciiTheme="minorEastAsia" w:hAnsiTheme="minorEastAsia"/>
                <w:szCs w:val="21"/>
              </w:rPr>
            </w:pPr>
            <w:r>
              <w:rPr>
                <w:rFonts w:hint="eastAsia" w:asciiTheme="minorEastAsia" w:hAnsiTheme="minorEastAsia"/>
                <w:szCs w:val="21"/>
              </w:rPr>
              <w:t>供应商的施工方案先进可行，施工技术措施符合本项目场地条件及工程特点要求，且详细的得8-10分；施工方案满足本项目要求，施工技术措施符合本项目场地条件和工程特点要求的得5-7分；施工方案基本可行，施工措施制定不详细的得0-4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施工重点难点分析</w:t>
            </w:r>
          </w:p>
        </w:tc>
        <w:tc>
          <w:tcPr>
            <w:tcW w:w="709" w:type="dxa"/>
            <w:vAlign w:val="center"/>
          </w:tcPr>
          <w:p>
            <w:pPr>
              <w:rPr>
                <w:rFonts w:asciiTheme="minorEastAsia" w:hAnsiTheme="minorEastAsia"/>
                <w:szCs w:val="21"/>
              </w:rPr>
            </w:pPr>
            <w:r>
              <w:rPr>
                <w:rFonts w:hint="eastAsia" w:asciiTheme="minorEastAsia" w:hAnsiTheme="minorEastAsia"/>
                <w:szCs w:val="21"/>
              </w:rPr>
              <w:t>10</w:t>
            </w:r>
          </w:p>
        </w:tc>
        <w:tc>
          <w:tcPr>
            <w:tcW w:w="5670" w:type="dxa"/>
            <w:vAlign w:val="center"/>
          </w:tcPr>
          <w:p>
            <w:pPr>
              <w:rPr>
                <w:rFonts w:asciiTheme="minorEastAsia" w:hAnsiTheme="minorEastAsia"/>
                <w:szCs w:val="21"/>
              </w:rPr>
            </w:pPr>
            <w:r>
              <w:rPr>
                <w:rFonts w:hint="eastAsia" w:asciiTheme="minorEastAsia" w:hAnsiTheme="minorEastAsia"/>
                <w:szCs w:val="21"/>
              </w:rPr>
              <w:t>供应商针对本项目制定的施工重点难点分析报告非常详细，思路清晰，完全符合项目实际情况的得8-10分；供应商针对本项目制定的施工重点难点分析报告基本详细，符合项目实际情况的得5-7分；供应商针对本项目制定的施工重点难点分析报告简单描述，勉强符合项目实际情况的得0-4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质量保障措施</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vAlign w:val="center"/>
          </w:tcPr>
          <w:p>
            <w:pPr>
              <w:rPr>
                <w:rFonts w:asciiTheme="minorEastAsia" w:hAnsiTheme="minorEastAsia"/>
                <w:szCs w:val="21"/>
              </w:rPr>
            </w:pPr>
            <w:r>
              <w:rPr>
                <w:rFonts w:hint="eastAsia" w:asciiTheme="minorEastAsia" w:hAnsiTheme="minorEastAsia"/>
                <w:szCs w:val="21"/>
              </w:rPr>
              <w:t>供应商针对本项目的质量保障措施配置科学合理、规章制度健全、岗位职责及质量管理目标明确得6分；质量保障措施配置合理、规章制度健全、岗位职责及质量管理目标明确的得3-5分；质量保障措施配置基本合理、规章制度健全、岗位职责及质量管理目标基本明确的得0-2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安全、文明管理体系与措施</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vAlign w:val="center"/>
          </w:tcPr>
          <w:p>
            <w:pPr>
              <w:rPr>
                <w:rFonts w:asciiTheme="minorEastAsia" w:hAnsiTheme="minorEastAsia"/>
                <w:szCs w:val="21"/>
              </w:rPr>
            </w:pPr>
            <w:r>
              <w:rPr>
                <w:rFonts w:hint="eastAsia" w:asciiTheme="minorEastAsia" w:hAnsiTheme="minorEastAsia"/>
                <w:szCs w:val="21"/>
              </w:rPr>
              <w:t>供应商的安全生产、文明施工管理资源配置科学合理、管理制度健全、安全生产预案与措施针对性强的得5-6分；安全生产、文明施工管理资源配置合理、管理制度健全、安全生产预案与措施完善的得3-4分；安全生产、文明施工管理资源配置基本合理、管理制度健全、安全生产预案与措施勉强完善的得0-2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施工环保措施计划、减少噪音、降低环境污染</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vAlign w:val="center"/>
          </w:tcPr>
          <w:p>
            <w:pPr>
              <w:rPr>
                <w:rFonts w:asciiTheme="minorEastAsia" w:hAnsiTheme="minorEastAsia"/>
                <w:szCs w:val="21"/>
              </w:rPr>
            </w:pPr>
            <w:r>
              <w:rPr>
                <w:rFonts w:hint="eastAsia" w:asciiTheme="minorEastAsia" w:hAnsiTheme="minorEastAsia"/>
                <w:szCs w:val="21"/>
              </w:rPr>
              <w:t>供应商的施工环保措施计划、减少噪音、降低环境污染等措施科学先进、合理的得5-6分；施工环保措施计划、减少噪音、降低环境污染等措施合理的得3-4分；施工环保措施计划、减少噪音、降低环境污染等措施基本合理的得0-2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工程进度保障措施</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vAlign w:val="center"/>
          </w:tcPr>
          <w:p>
            <w:pPr>
              <w:rPr>
                <w:rFonts w:asciiTheme="minorEastAsia" w:hAnsiTheme="minorEastAsia"/>
                <w:szCs w:val="21"/>
              </w:rPr>
            </w:pPr>
            <w:r>
              <w:rPr>
                <w:rFonts w:hint="eastAsia" w:asciiTheme="minorEastAsia" w:hAnsiTheme="minorEastAsia"/>
                <w:szCs w:val="21"/>
              </w:rPr>
              <w:t>供应商的工程进度保障措施完善合理，且完全符合项目特点得6分；工程进度保障措施较合理得3-5分；工程进度保障措施基本合理得0-2分。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资源配备计划</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tcPr>
          <w:p>
            <w:pPr>
              <w:rPr>
                <w:rFonts w:asciiTheme="minorEastAsia" w:hAnsiTheme="minorEastAsia"/>
                <w:szCs w:val="21"/>
              </w:rPr>
            </w:pPr>
            <w:r>
              <w:rPr>
                <w:rFonts w:hint="eastAsia" w:asciiTheme="minorEastAsia" w:hAnsiTheme="minorEastAsia"/>
                <w:szCs w:val="21"/>
              </w:rPr>
              <w:t>供应商的资金使用和主要材料用量的计算说明详细完善、思路清晰，劳动力与施工机械设备安排计划科学合理的得5-6分；资金使用和主要材料的计算说明基本详细，劳动力与施工机械设备安排计划合理的得3-4分；资金使用和主要材料用量的计算说明简单描述，劳动力与施工机械设备安排计划基本合理的得0-2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质量服务承诺</w:t>
            </w:r>
          </w:p>
        </w:tc>
        <w:tc>
          <w:tcPr>
            <w:tcW w:w="709" w:type="dxa"/>
            <w:vAlign w:val="center"/>
          </w:tcPr>
          <w:p>
            <w:pPr>
              <w:rPr>
                <w:rFonts w:asciiTheme="minorEastAsia" w:hAnsiTheme="minorEastAsia"/>
                <w:szCs w:val="21"/>
              </w:rPr>
            </w:pPr>
            <w:r>
              <w:rPr>
                <w:rFonts w:hint="eastAsia" w:asciiTheme="minorEastAsia" w:hAnsiTheme="minorEastAsia"/>
                <w:szCs w:val="21"/>
              </w:rPr>
              <w:t>2</w:t>
            </w:r>
          </w:p>
        </w:tc>
        <w:tc>
          <w:tcPr>
            <w:tcW w:w="5670" w:type="dxa"/>
            <w:vAlign w:val="center"/>
          </w:tcPr>
          <w:p>
            <w:pPr>
              <w:rPr>
                <w:rFonts w:asciiTheme="minorEastAsia" w:hAnsiTheme="minorEastAsia"/>
                <w:szCs w:val="21"/>
              </w:rPr>
            </w:pPr>
            <w:r>
              <w:rPr>
                <w:rFonts w:hint="eastAsia" w:asciiTheme="minorEastAsia" w:hAnsiTheme="minorEastAsia"/>
                <w:szCs w:val="21"/>
              </w:rPr>
              <w:t>供应商有保证工程质量的承诺且有具体的经济处罚措施的的得2分，没有得0分。（提供承诺书原件并加盖公章）</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售后服务承诺</w:t>
            </w:r>
          </w:p>
        </w:tc>
        <w:tc>
          <w:tcPr>
            <w:tcW w:w="709" w:type="dxa"/>
            <w:vAlign w:val="center"/>
          </w:tcPr>
          <w:p>
            <w:pPr>
              <w:rPr>
                <w:rFonts w:asciiTheme="minorEastAsia" w:hAnsiTheme="minorEastAsia"/>
                <w:szCs w:val="21"/>
              </w:rPr>
            </w:pPr>
            <w:r>
              <w:rPr>
                <w:rFonts w:hint="eastAsia" w:asciiTheme="minorEastAsia" w:hAnsiTheme="minorEastAsia"/>
                <w:szCs w:val="21"/>
              </w:rPr>
              <w:t>3</w:t>
            </w:r>
          </w:p>
        </w:tc>
        <w:tc>
          <w:tcPr>
            <w:tcW w:w="5670" w:type="dxa"/>
            <w:vAlign w:val="center"/>
          </w:tcPr>
          <w:p>
            <w:pPr>
              <w:rPr>
                <w:rFonts w:asciiTheme="minorEastAsia" w:hAnsiTheme="minorEastAsia"/>
                <w:szCs w:val="21"/>
              </w:rPr>
            </w:pPr>
            <w:r>
              <w:rPr>
                <w:rFonts w:hint="eastAsia" w:asciiTheme="minorEastAsia" w:hAnsiTheme="minorEastAsia"/>
                <w:szCs w:val="21"/>
              </w:rPr>
              <w:t>1.供应商有明确的售后服务措施（包括质保期和故障响应时间），且承诺具体可行，具有一定优势，最高得1.5分；</w:t>
            </w:r>
          </w:p>
          <w:p>
            <w:pPr>
              <w:rPr>
                <w:rFonts w:asciiTheme="minorEastAsia" w:hAnsiTheme="minorEastAsia"/>
                <w:szCs w:val="21"/>
              </w:rPr>
            </w:pPr>
            <w:r>
              <w:rPr>
                <w:rFonts w:hint="eastAsia" w:asciiTheme="minorEastAsia" w:hAnsiTheme="minorEastAsia"/>
                <w:szCs w:val="21"/>
              </w:rPr>
              <w:t>2.供应商有售后质保承诺的得1.5分，否则不得分。（提供承诺书原件并加盖公章）</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3"/>
            <w:vAlign w:val="center"/>
          </w:tcPr>
          <w:p>
            <w:pPr>
              <w:rPr>
                <w:rFonts w:asciiTheme="minorEastAsia" w:hAnsiTheme="minorEastAsia"/>
                <w:szCs w:val="21"/>
              </w:rPr>
            </w:pPr>
            <w:r>
              <w:rPr>
                <w:rFonts w:hint="eastAsia" w:asciiTheme="minorEastAsia" w:hAnsiTheme="minorEastAsia"/>
                <w:szCs w:val="21"/>
              </w:rPr>
              <w:t>技术分合计</w:t>
            </w:r>
          </w:p>
        </w:tc>
        <w:tc>
          <w:tcPr>
            <w:tcW w:w="5670" w:type="dxa"/>
            <w:vAlign w:val="center"/>
          </w:tcPr>
          <w:p>
            <w:pPr>
              <w:rPr>
                <w:rFonts w:asciiTheme="minorEastAsia" w:hAnsiTheme="minorEastAsia"/>
                <w:szCs w:val="21"/>
              </w:rPr>
            </w:pPr>
            <w:r>
              <w:rPr>
                <w:rFonts w:hint="eastAsia" w:asciiTheme="minorEastAsia" w:hAnsiTheme="minorEastAsia"/>
                <w:szCs w:val="21"/>
              </w:rPr>
              <w:t>55分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restart"/>
            <w:vAlign w:val="center"/>
          </w:tcPr>
          <w:p>
            <w:pPr>
              <w:rPr>
                <w:rFonts w:asciiTheme="minorEastAsia" w:hAnsiTheme="minorEastAsia"/>
                <w:szCs w:val="21"/>
              </w:rPr>
            </w:pPr>
            <w:r>
              <w:rPr>
                <w:rFonts w:hint="eastAsia" w:asciiTheme="minorEastAsia" w:hAnsiTheme="minorEastAsia"/>
                <w:szCs w:val="21"/>
              </w:rPr>
              <w:t>综</w:t>
            </w:r>
          </w:p>
          <w:p>
            <w:pPr>
              <w:rPr>
                <w:rFonts w:asciiTheme="minorEastAsia" w:hAnsiTheme="minorEastAsia"/>
                <w:szCs w:val="21"/>
              </w:rPr>
            </w:pPr>
            <w:r>
              <w:rPr>
                <w:rFonts w:hint="eastAsia" w:asciiTheme="minorEastAsia" w:hAnsiTheme="minorEastAsia"/>
                <w:szCs w:val="21"/>
              </w:rPr>
              <w:t>合</w:t>
            </w:r>
          </w:p>
          <w:p>
            <w:pPr>
              <w:rPr>
                <w:rFonts w:asciiTheme="minorEastAsia" w:hAnsiTheme="minorEastAsia"/>
                <w:szCs w:val="21"/>
              </w:rPr>
            </w:pPr>
            <w:r>
              <w:rPr>
                <w:rFonts w:hint="eastAsia" w:asciiTheme="minorEastAsia" w:hAnsiTheme="minorEastAsia"/>
                <w:szCs w:val="21"/>
              </w:rPr>
              <w:t>评</w:t>
            </w:r>
          </w:p>
          <w:p>
            <w:pPr>
              <w:rPr>
                <w:rFonts w:asciiTheme="minorEastAsia" w:hAnsiTheme="minorEastAsia"/>
                <w:szCs w:val="21"/>
              </w:rPr>
            </w:pPr>
            <w:r>
              <w:rPr>
                <w:rFonts w:hint="eastAsia" w:asciiTheme="minorEastAsia" w:hAnsiTheme="minorEastAsia"/>
                <w:szCs w:val="21"/>
              </w:rPr>
              <w:t>议</w:t>
            </w:r>
          </w:p>
          <w:p>
            <w:pPr>
              <w:rPr>
                <w:rFonts w:asciiTheme="minorEastAsia" w:hAnsiTheme="minorEastAsia"/>
                <w:szCs w:val="21"/>
              </w:rPr>
            </w:pPr>
            <w:r>
              <w:rPr>
                <w:rFonts w:hint="eastAsia" w:asciiTheme="minorEastAsia" w:hAnsiTheme="minorEastAsia"/>
                <w:szCs w:val="21"/>
              </w:rPr>
              <w:t>（15分）</w:t>
            </w:r>
          </w:p>
        </w:tc>
        <w:tc>
          <w:tcPr>
            <w:tcW w:w="1134" w:type="dxa"/>
            <w:vAlign w:val="center"/>
          </w:tcPr>
          <w:p>
            <w:pPr>
              <w:rPr>
                <w:rFonts w:asciiTheme="minorEastAsia" w:hAnsiTheme="minorEastAsia"/>
                <w:szCs w:val="21"/>
              </w:rPr>
            </w:pPr>
            <w:r>
              <w:rPr>
                <w:rFonts w:hint="eastAsia" w:asciiTheme="minorEastAsia" w:hAnsiTheme="minorEastAsia"/>
                <w:szCs w:val="21"/>
              </w:rPr>
              <w:t>管理体系</w:t>
            </w:r>
          </w:p>
        </w:tc>
        <w:tc>
          <w:tcPr>
            <w:tcW w:w="709" w:type="dxa"/>
            <w:vAlign w:val="center"/>
          </w:tcPr>
          <w:p>
            <w:pPr>
              <w:rPr>
                <w:rFonts w:asciiTheme="minorEastAsia" w:hAnsiTheme="minorEastAsia"/>
                <w:szCs w:val="21"/>
              </w:rPr>
            </w:pPr>
            <w:r>
              <w:rPr>
                <w:rFonts w:hint="eastAsia" w:asciiTheme="minorEastAsia" w:hAnsiTheme="minorEastAsia"/>
                <w:szCs w:val="21"/>
              </w:rPr>
              <w:t>2</w:t>
            </w:r>
          </w:p>
        </w:tc>
        <w:tc>
          <w:tcPr>
            <w:tcW w:w="5670" w:type="dxa"/>
            <w:vAlign w:val="center"/>
          </w:tcPr>
          <w:p>
            <w:pPr>
              <w:rPr>
                <w:rFonts w:asciiTheme="minorEastAsia" w:hAnsiTheme="minorEastAsia"/>
                <w:szCs w:val="21"/>
              </w:rPr>
            </w:pPr>
            <w:r>
              <w:rPr>
                <w:rFonts w:hint="eastAsia" w:asciiTheme="minorEastAsia" w:hAnsiTheme="minorEastAsia"/>
                <w:szCs w:val="21"/>
              </w:rPr>
              <w:t>具有</w:t>
            </w:r>
            <w:r>
              <w:rPr>
                <w:rFonts w:asciiTheme="minorEastAsia" w:hAnsiTheme="minorEastAsia"/>
                <w:szCs w:val="21"/>
              </w:rPr>
              <w:t>ISO 9001</w:t>
            </w:r>
            <w:r>
              <w:rPr>
                <w:rFonts w:hint="eastAsia" w:asciiTheme="minorEastAsia" w:hAnsiTheme="minorEastAsia"/>
                <w:szCs w:val="21"/>
              </w:rPr>
              <w:t xml:space="preserve">质量管理体系认证证书、 </w:t>
            </w:r>
          </w:p>
          <w:p>
            <w:pPr>
              <w:rPr>
                <w:rFonts w:asciiTheme="minorEastAsia" w:hAnsiTheme="minorEastAsia"/>
                <w:szCs w:val="21"/>
              </w:rPr>
            </w:pPr>
            <w:r>
              <w:rPr>
                <w:rFonts w:asciiTheme="minorEastAsia" w:hAnsiTheme="minorEastAsia"/>
                <w:szCs w:val="21"/>
              </w:rPr>
              <w:t>OHSAS18001</w:t>
            </w:r>
            <w:r>
              <w:rPr>
                <w:rFonts w:hint="eastAsia" w:asciiTheme="minorEastAsia" w:hAnsiTheme="minorEastAsia"/>
                <w:szCs w:val="21"/>
              </w:rPr>
              <w:t xml:space="preserve">职业健康管理体系认证证书、 </w:t>
            </w:r>
          </w:p>
          <w:p>
            <w:pPr>
              <w:rPr>
                <w:rFonts w:asciiTheme="minorEastAsia" w:hAnsiTheme="minorEastAsia"/>
                <w:szCs w:val="21"/>
              </w:rPr>
            </w:pPr>
            <w:r>
              <w:rPr>
                <w:rFonts w:asciiTheme="minorEastAsia" w:hAnsiTheme="minorEastAsia"/>
                <w:szCs w:val="21"/>
              </w:rPr>
              <w:t>ISO14001</w:t>
            </w:r>
            <w:r>
              <w:rPr>
                <w:rFonts w:hint="eastAsia" w:asciiTheme="minorEastAsia" w:hAnsiTheme="minorEastAsia"/>
                <w:szCs w:val="21"/>
              </w:rPr>
              <w:t>环境管理体系认证证书，且开标之日均在在有效期内的得</w:t>
            </w:r>
            <w:r>
              <w:rPr>
                <w:rFonts w:asciiTheme="minorEastAsia" w:hAnsiTheme="minorEastAsia"/>
                <w:szCs w:val="21"/>
              </w:rPr>
              <w:t>2</w:t>
            </w:r>
            <w:r>
              <w:rPr>
                <w:rFonts w:hint="eastAsia" w:asciiTheme="minorEastAsia" w:hAnsiTheme="minorEastAsia"/>
                <w:szCs w:val="21"/>
              </w:rPr>
              <w:t>分，否则得</w:t>
            </w:r>
            <w:r>
              <w:rPr>
                <w:rFonts w:asciiTheme="minorEastAsia" w:hAnsiTheme="minorEastAsia"/>
                <w:szCs w:val="21"/>
              </w:rPr>
              <w:t>0</w:t>
            </w:r>
            <w:r>
              <w:rPr>
                <w:rFonts w:hint="eastAsia" w:asciiTheme="minorEastAsia" w:hAnsiTheme="minorEastAsia"/>
                <w:szCs w:val="21"/>
              </w:rPr>
              <w:t>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疫情信誉</w:t>
            </w:r>
          </w:p>
        </w:tc>
        <w:tc>
          <w:tcPr>
            <w:tcW w:w="709" w:type="dxa"/>
            <w:vAlign w:val="center"/>
          </w:tcPr>
          <w:p>
            <w:pPr>
              <w:rPr>
                <w:rFonts w:asciiTheme="minorEastAsia" w:hAnsiTheme="minorEastAsia"/>
                <w:szCs w:val="21"/>
              </w:rPr>
            </w:pPr>
            <w:r>
              <w:rPr>
                <w:rFonts w:hint="eastAsia" w:asciiTheme="minorEastAsia" w:hAnsiTheme="minorEastAsia"/>
                <w:szCs w:val="21"/>
              </w:rPr>
              <w:t>3</w:t>
            </w:r>
          </w:p>
        </w:tc>
        <w:tc>
          <w:tcPr>
            <w:tcW w:w="5670" w:type="dxa"/>
            <w:vAlign w:val="center"/>
          </w:tcPr>
          <w:p>
            <w:pPr>
              <w:rPr>
                <w:rFonts w:asciiTheme="minorEastAsia" w:hAnsiTheme="minorEastAsia"/>
                <w:szCs w:val="21"/>
              </w:rPr>
            </w:pPr>
            <w:r>
              <w:rPr>
                <w:rFonts w:hint="eastAsia" w:asciiTheme="minorEastAsia" w:hAnsiTheme="minorEastAsia"/>
                <w:szCs w:val="21"/>
              </w:rPr>
              <w:t xml:space="preserve">投标人在新冠疫情防控中贡献突出且受到招标 </w:t>
            </w:r>
          </w:p>
          <w:p>
            <w:pPr>
              <w:rPr>
                <w:rFonts w:asciiTheme="minorEastAsia" w:hAnsiTheme="minorEastAsia"/>
                <w:szCs w:val="21"/>
              </w:rPr>
            </w:pPr>
            <w:r>
              <w:rPr>
                <w:rFonts w:hint="eastAsia" w:asciiTheme="minorEastAsia" w:hAnsiTheme="minorEastAsia"/>
                <w:szCs w:val="21"/>
              </w:rPr>
              <w:t>项目所在地县级以上（含县级）人民政府或防疫指挥部表彰，得 2分；</w:t>
            </w:r>
          </w:p>
          <w:p>
            <w:pPr>
              <w:rPr>
                <w:rFonts w:asciiTheme="minorEastAsia" w:hAnsiTheme="minorEastAsia"/>
                <w:szCs w:val="21"/>
              </w:rPr>
            </w:pPr>
            <w:r>
              <w:rPr>
                <w:rFonts w:hint="eastAsia" w:asciiTheme="minorEastAsia" w:hAnsiTheme="minorEastAsia"/>
                <w:szCs w:val="21"/>
              </w:rPr>
              <w:t>申请人拟派项目管理机构主要人员在新冠疫情防控中贡献突出且受到招标项目所在地县级以上（含县级）人民政府或防疫指挥部表彰，得 1 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企业荣誉</w:t>
            </w:r>
          </w:p>
        </w:tc>
        <w:tc>
          <w:tcPr>
            <w:tcW w:w="709" w:type="dxa"/>
            <w:vAlign w:val="center"/>
          </w:tcPr>
          <w:p>
            <w:pPr>
              <w:rPr>
                <w:rFonts w:asciiTheme="minorEastAsia" w:hAnsiTheme="minorEastAsia"/>
                <w:szCs w:val="21"/>
              </w:rPr>
            </w:pPr>
            <w:r>
              <w:rPr>
                <w:rFonts w:hint="eastAsia" w:asciiTheme="minorEastAsia" w:hAnsiTheme="minorEastAsia"/>
                <w:szCs w:val="21"/>
              </w:rPr>
              <w:t>6</w:t>
            </w:r>
          </w:p>
        </w:tc>
        <w:tc>
          <w:tcPr>
            <w:tcW w:w="5670" w:type="dxa"/>
            <w:vAlign w:val="center"/>
          </w:tcPr>
          <w:p>
            <w:pPr>
              <w:rPr>
                <w:rFonts w:asciiTheme="minorEastAsia" w:hAnsiTheme="minorEastAsia"/>
                <w:szCs w:val="21"/>
              </w:rPr>
            </w:pPr>
            <w:r>
              <w:rPr>
                <w:rFonts w:hint="eastAsia" w:asciiTheme="minorEastAsia" w:hAnsiTheme="minorEastAsia"/>
                <w:szCs w:val="21"/>
              </w:rPr>
              <w:t>（</w:t>
            </w:r>
            <w:r>
              <w:rPr>
                <w:rFonts w:asciiTheme="minorEastAsia" w:hAnsiTheme="minorEastAsia"/>
                <w:szCs w:val="21"/>
              </w:rPr>
              <w:t>1</w:t>
            </w:r>
            <w:r>
              <w:rPr>
                <w:rFonts w:hint="eastAsia" w:asciiTheme="minorEastAsia" w:hAnsiTheme="minorEastAsia"/>
                <w:szCs w:val="21"/>
              </w:rPr>
              <w:t xml:space="preserve">）近三年（投标截止日往前推算）获得过守 </w:t>
            </w:r>
          </w:p>
          <w:p>
            <w:pPr>
              <w:rPr>
                <w:rFonts w:asciiTheme="minorEastAsia" w:hAnsiTheme="minorEastAsia"/>
                <w:szCs w:val="21"/>
              </w:rPr>
            </w:pPr>
            <w:r>
              <w:rPr>
                <w:rFonts w:hint="eastAsia" w:asciiTheme="minorEastAsia" w:hAnsiTheme="minorEastAsia"/>
                <w:szCs w:val="21"/>
              </w:rPr>
              <w:t xml:space="preserve">合同重信用（或重合同守信用）荣誉，且开标之日在有效期内的得 </w:t>
            </w:r>
            <w:r>
              <w:rPr>
                <w:rFonts w:asciiTheme="minorEastAsia" w:hAnsiTheme="minorEastAsia"/>
                <w:szCs w:val="21"/>
              </w:rPr>
              <w:t xml:space="preserve">2 </w:t>
            </w:r>
            <w:r>
              <w:rPr>
                <w:rFonts w:hint="eastAsia" w:asciiTheme="minorEastAsia" w:hAnsiTheme="minorEastAsia"/>
                <w:szCs w:val="21"/>
              </w:rPr>
              <w:t xml:space="preserve">分，否则得 </w:t>
            </w:r>
            <w:r>
              <w:rPr>
                <w:rFonts w:asciiTheme="minorEastAsia" w:hAnsiTheme="minorEastAsia"/>
                <w:szCs w:val="21"/>
              </w:rPr>
              <w:t xml:space="preserve">0 </w:t>
            </w:r>
            <w:r>
              <w:rPr>
                <w:rFonts w:hint="eastAsia" w:asciiTheme="minorEastAsia" w:hAnsiTheme="minorEastAsia"/>
                <w:szCs w:val="21"/>
              </w:rPr>
              <w:t xml:space="preserve">分； </w:t>
            </w:r>
          </w:p>
          <w:p>
            <w:pPr>
              <w:rPr>
                <w:rFonts w:asciiTheme="minorEastAsia" w:hAnsiTheme="minorEastAsia"/>
                <w:szCs w:val="21"/>
              </w:rPr>
            </w:pPr>
            <w:r>
              <w:rPr>
                <w:rFonts w:hint="eastAsia" w:asciiTheme="minorEastAsia" w:hAnsiTheme="minorEastAsia"/>
                <w:szCs w:val="21"/>
              </w:rPr>
              <w:t>（</w:t>
            </w:r>
            <w:r>
              <w:rPr>
                <w:rFonts w:asciiTheme="minorEastAsia" w:hAnsiTheme="minorEastAsia"/>
                <w:szCs w:val="21"/>
              </w:rPr>
              <w:t>2</w:t>
            </w:r>
            <w:r>
              <w:rPr>
                <w:rFonts w:hint="eastAsia" w:asciiTheme="minorEastAsia" w:hAnsiTheme="minorEastAsia"/>
                <w:szCs w:val="21"/>
              </w:rPr>
              <w:t xml:space="preserve">）近三年（投标截止日往前推算）施工的工 </w:t>
            </w:r>
          </w:p>
          <w:p>
            <w:pPr>
              <w:rPr>
                <w:rFonts w:asciiTheme="minorEastAsia" w:hAnsiTheme="minorEastAsia"/>
                <w:szCs w:val="21"/>
              </w:rPr>
            </w:pPr>
            <w:r>
              <w:rPr>
                <w:rFonts w:hint="eastAsia" w:asciiTheme="minorEastAsia" w:hAnsiTheme="minorEastAsia"/>
                <w:szCs w:val="21"/>
              </w:rPr>
              <w:t xml:space="preserve">程获得优质工程荣誉，且开标之日在有效期内的得 </w:t>
            </w:r>
            <w:r>
              <w:rPr>
                <w:rFonts w:asciiTheme="minorEastAsia" w:hAnsiTheme="minorEastAsia"/>
                <w:szCs w:val="21"/>
              </w:rPr>
              <w:t xml:space="preserve">2 </w:t>
            </w:r>
            <w:r>
              <w:rPr>
                <w:rFonts w:hint="eastAsia" w:asciiTheme="minorEastAsia" w:hAnsiTheme="minorEastAsia"/>
                <w:szCs w:val="21"/>
              </w:rPr>
              <w:t xml:space="preserve">分，否则得 </w:t>
            </w:r>
            <w:r>
              <w:rPr>
                <w:rFonts w:asciiTheme="minorEastAsia" w:hAnsiTheme="minorEastAsia"/>
                <w:szCs w:val="21"/>
              </w:rPr>
              <w:t xml:space="preserve">0 </w:t>
            </w:r>
            <w:r>
              <w:rPr>
                <w:rFonts w:hint="eastAsia" w:asciiTheme="minorEastAsia" w:hAnsiTheme="minorEastAsia"/>
                <w:szCs w:val="21"/>
              </w:rPr>
              <w:t xml:space="preserve">分； </w:t>
            </w:r>
          </w:p>
          <w:p>
            <w:pPr>
              <w:rPr>
                <w:rFonts w:asciiTheme="minorEastAsia" w:hAnsiTheme="minorEastAsia"/>
                <w:szCs w:val="21"/>
              </w:rPr>
            </w:pPr>
            <w:r>
              <w:rPr>
                <w:rFonts w:hint="eastAsia" w:asciiTheme="minorEastAsia" w:hAnsiTheme="minorEastAsia"/>
                <w:szCs w:val="21"/>
              </w:rPr>
              <w:t>（</w:t>
            </w:r>
            <w:r>
              <w:rPr>
                <w:rFonts w:asciiTheme="minorEastAsia" w:hAnsiTheme="minorEastAsia"/>
                <w:szCs w:val="21"/>
              </w:rPr>
              <w:t>3</w:t>
            </w:r>
            <w:r>
              <w:rPr>
                <w:rFonts w:hint="eastAsia" w:asciiTheme="minorEastAsia" w:hAnsiTheme="minorEastAsia"/>
                <w:szCs w:val="21"/>
              </w:rPr>
              <w:t xml:space="preserve">）近三年（投标截止日往前推算）施工的工 </w:t>
            </w:r>
          </w:p>
          <w:p>
            <w:pPr>
              <w:rPr>
                <w:rFonts w:asciiTheme="minorEastAsia" w:hAnsiTheme="minorEastAsia"/>
                <w:szCs w:val="21"/>
              </w:rPr>
            </w:pPr>
            <w:r>
              <w:rPr>
                <w:rFonts w:hint="eastAsia" w:asciiTheme="minorEastAsia" w:hAnsiTheme="minorEastAsia"/>
                <w:szCs w:val="21"/>
              </w:rPr>
              <w:t>程获得文明工地荣誉，且开标之日在有效期内的得 2</w:t>
            </w:r>
            <w:r>
              <w:rPr>
                <w:rFonts w:asciiTheme="minorEastAsia" w:hAnsiTheme="minorEastAsia"/>
                <w:szCs w:val="21"/>
              </w:rPr>
              <w:t xml:space="preserve"> </w:t>
            </w:r>
            <w:r>
              <w:rPr>
                <w:rFonts w:hint="eastAsia" w:asciiTheme="minorEastAsia" w:hAnsiTheme="minorEastAsia"/>
                <w:szCs w:val="21"/>
              </w:rPr>
              <w:t xml:space="preserve">分，否则得 </w:t>
            </w:r>
            <w:r>
              <w:rPr>
                <w:rFonts w:asciiTheme="minorEastAsia" w:hAnsiTheme="minorEastAsia"/>
                <w:szCs w:val="21"/>
              </w:rPr>
              <w:t xml:space="preserve">0 </w:t>
            </w:r>
            <w:r>
              <w:rPr>
                <w:rFonts w:hint="eastAsia" w:asciiTheme="minorEastAsia" w:hAnsiTheme="minorEastAsia"/>
                <w:szCs w:val="21"/>
              </w:rPr>
              <w:t>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817" w:type="dxa"/>
            <w:vMerge w:val="continue"/>
          </w:tcPr>
          <w:p>
            <w:pPr>
              <w:rPr>
                <w:rFonts w:asciiTheme="minorEastAsia" w:hAnsiTheme="minorEastAsia"/>
                <w:szCs w:val="21"/>
              </w:rPr>
            </w:pPr>
          </w:p>
        </w:tc>
        <w:tc>
          <w:tcPr>
            <w:tcW w:w="1134" w:type="dxa"/>
            <w:vAlign w:val="center"/>
          </w:tcPr>
          <w:p>
            <w:pPr>
              <w:rPr>
                <w:rFonts w:asciiTheme="minorEastAsia" w:hAnsiTheme="minorEastAsia"/>
                <w:szCs w:val="21"/>
              </w:rPr>
            </w:pPr>
            <w:r>
              <w:rPr>
                <w:rFonts w:hint="eastAsia" w:asciiTheme="minorEastAsia" w:hAnsiTheme="minorEastAsia"/>
                <w:szCs w:val="21"/>
              </w:rPr>
              <w:t>企业业绩</w:t>
            </w:r>
          </w:p>
        </w:tc>
        <w:tc>
          <w:tcPr>
            <w:tcW w:w="709" w:type="dxa"/>
            <w:vAlign w:val="center"/>
          </w:tcPr>
          <w:p>
            <w:pPr>
              <w:rPr>
                <w:rFonts w:asciiTheme="minorEastAsia" w:hAnsiTheme="minorEastAsia"/>
                <w:szCs w:val="21"/>
              </w:rPr>
            </w:pPr>
            <w:r>
              <w:rPr>
                <w:rFonts w:hint="eastAsia" w:asciiTheme="minorEastAsia" w:hAnsiTheme="minorEastAsia"/>
                <w:szCs w:val="21"/>
              </w:rPr>
              <w:t>4</w:t>
            </w:r>
          </w:p>
        </w:tc>
        <w:tc>
          <w:tcPr>
            <w:tcW w:w="5670" w:type="dxa"/>
            <w:vAlign w:val="center"/>
          </w:tcPr>
          <w:p>
            <w:pPr>
              <w:rPr>
                <w:rFonts w:asciiTheme="minorEastAsia" w:hAnsiTheme="minorEastAsia"/>
                <w:szCs w:val="21"/>
              </w:rPr>
            </w:pPr>
            <w:r>
              <w:rPr>
                <w:rFonts w:hint="eastAsia" w:asciiTheme="minorEastAsia" w:hAnsiTheme="minorEastAsia"/>
                <w:szCs w:val="21"/>
              </w:rPr>
              <w:t xml:space="preserve">投标人近 </w:t>
            </w:r>
            <w:r>
              <w:rPr>
                <w:rFonts w:asciiTheme="minorEastAsia" w:hAnsiTheme="minorEastAsia"/>
                <w:szCs w:val="21"/>
              </w:rPr>
              <w:t xml:space="preserve">3 </w:t>
            </w:r>
            <w:r>
              <w:rPr>
                <w:rFonts w:hint="eastAsia" w:asciiTheme="minorEastAsia" w:hAnsiTheme="minorEastAsia"/>
                <w:szCs w:val="21"/>
              </w:rPr>
              <w:t xml:space="preserve">年（从投标截止日期往前推算，以签 订合同时间为准）承接过类似项目业绩（提供中 标通知书或合同及竣工验收证书中的任意两项的真彩扫描件并加盖公章）的，每一项得 </w:t>
            </w:r>
            <w:r>
              <w:rPr>
                <w:rFonts w:asciiTheme="minorEastAsia" w:hAnsiTheme="minorEastAsia"/>
                <w:szCs w:val="21"/>
              </w:rPr>
              <w:t xml:space="preserve">1 </w:t>
            </w:r>
            <w:r>
              <w:rPr>
                <w:rFonts w:hint="eastAsia" w:asciiTheme="minorEastAsia" w:hAnsiTheme="minorEastAsia"/>
                <w:szCs w:val="21"/>
              </w:rPr>
              <w:t>分， 最多的 4</w:t>
            </w:r>
            <w:r>
              <w:rPr>
                <w:rFonts w:asciiTheme="minorEastAsia" w:hAnsiTheme="minorEastAsia"/>
                <w:szCs w:val="21"/>
              </w:rPr>
              <w:t xml:space="preserve"> </w:t>
            </w:r>
            <w:r>
              <w:rPr>
                <w:rFonts w:hint="eastAsia" w:asciiTheme="minorEastAsia" w:hAnsiTheme="minorEastAsia"/>
                <w:szCs w:val="21"/>
              </w:rPr>
              <w:t>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3"/>
            <w:vAlign w:val="center"/>
          </w:tcPr>
          <w:p>
            <w:pPr>
              <w:rPr>
                <w:rFonts w:asciiTheme="minorEastAsia" w:hAnsiTheme="minorEastAsia"/>
                <w:szCs w:val="21"/>
              </w:rPr>
            </w:pPr>
            <w:r>
              <w:rPr>
                <w:rFonts w:hint="eastAsia" w:asciiTheme="minorEastAsia" w:hAnsiTheme="minorEastAsia"/>
                <w:szCs w:val="21"/>
              </w:rPr>
              <w:t>商务分合计</w:t>
            </w:r>
          </w:p>
        </w:tc>
        <w:tc>
          <w:tcPr>
            <w:tcW w:w="5670" w:type="dxa"/>
            <w:vAlign w:val="center"/>
          </w:tcPr>
          <w:p>
            <w:pPr>
              <w:rPr>
                <w:rFonts w:asciiTheme="minorEastAsia" w:hAnsiTheme="minorEastAsia"/>
                <w:szCs w:val="21"/>
              </w:rPr>
            </w:pPr>
            <w:r>
              <w:rPr>
                <w:rFonts w:hint="eastAsia" w:asciiTheme="minorEastAsia" w:hAnsiTheme="minorEastAsia"/>
                <w:szCs w:val="21"/>
              </w:rPr>
              <w:t>15分</w:t>
            </w:r>
          </w:p>
        </w:tc>
        <w:tc>
          <w:tcPr>
            <w:tcW w:w="709" w:type="dxa"/>
          </w:tcPr>
          <w:p>
            <w:pPr>
              <w:rPr>
                <w:rFonts w:asciiTheme="minorEastAsia" w:hAnsiTheme="minorEastAsia"/>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660" w:type="dxa"/>
            <w:gridSpan w:val="3"/>
            <w:vAlign w:val="center"/>
          </w:tcPr>
          <w:p>
            <w:pPr>
              <w:rPr>
                <w:rFonts w:asciiTheme="minorEastAsia" w:hAnsiTheme="minorEastAsia"/>
                <w:szCs w:val="21"/>
              </w:rPr>
            </w:pPr>
            <w:r>
              <w:rPr>
                <w:rFonts w:hint="eastAsia" w:asciiTheme="minorEastAsia" w:hAnsiTheme="minorEastAsia"/>
                <w:szCs w:val="21"/>
              </w:rPr>
              <w:t>得分总计</w:t>
            </w:r>
          </w:p>
        </w:tc>
        <w:tc>
          <w:tcPr>
            <w:tcW w:w="5670" w:type="dxa"/>
            <w:vAlign w:val="center"/>
          </w:tcPr>
          <w:p>
            <w:pPr>
              <w:rPr>
                <w:rFonts w:asciiTheme="minorEastAsia" w:hAnsiTheme="minorEastAsia"/>
                <w:szCs w:val="21"/>
              </w:rPr>
            </w:pPr>
            <w:r>
              <w:rPr>
                <w:rFonts w:hint="eastAsia" w:asciiTheme="minorEastAsia" w:hAnsiTheme="minorEastAsia"/>
                <w:szCs w:val="21"/>
              </w:rPr>
              <w:t>100分</w:t>
            </w:r>
          </w:p>
        </w:tc>
        <w:tc>
          <w:tcPr>
            <w:tcW w:w="709" w:type="dxa"/>
          </w:tcPr>
          <w:p>
            <w:pPr>
              <w:rPr>
                <w:rFonts w:asciiTheme="minorEastAsia" w:hAnsiTheme="minorEastAsia"/>
                <w:szCs w:val="21"/>
              </w:rPr>
            </w:pPr>
          </w:p>
        </w:tc>
      </w:tr>
    </w:tbl>
    <w:p>
      <w:pPr>
        <w:rPr>
          <w:b/>
          <w:color w:val="000000"/>
        </w:rPr>
      </w:pPr>
      <w:r>
        <w:rPr>
          <w:rFonts w:hint="eastAsia"/>
          <w:b/>
          <w:color w:val="000000"/>
        </w:rPr>
        <w:t>备注：</w:t>
      </w:r>
    </w:p>
    <w:p>
      <w:pPr>
        <w:rPr>
          <w:rFonts w:ascii="宋体" w:hAnsi="宋体" w:cs="宋体"/>
          <w:bCs/>
          <w:color w:val="000000"/>
          <w:sz w:val="18"/>
          <w:szCs w:val="18"/>
        </w:rPr>
      </w:pPr>
      <w:r>
        <w:rPr>
          <w:rFonts w:hint="eastAsia" w:ascii="宋体" w:hAnsi="宋体" w:cs="宋体"/>
          <w:bCs/>
          <w:color w:val="000000"/>
          <w:sz w:val="18"/>
          <w:szCs w:val="18"/>
        </w:rPr>
        <w:t>1、以上所有须提供的证件、证书、有关资料等投标人都须提供原始资料的真彩扫描打印件供专家评委评审，否则不得分。投标人投标时须认真对待、如实应标。凡提供虚假材料谋取中标的，一经查实，根据《政府采购法》第七十七条之规定，将对供应商处以罚款、列入不良行为记录名单、依法追究刑事责任等。</w:t>
      </w:r>
    </w:p>
    <w:p>
      <w:pPr>
        <w:rPr>
          <w:rFonts w:ascii="宋体" w:hAnsi="宋体" w:cs="宋体"/>
          <w:bCs/>
          <w:color w:val="000000"/>
          <w:sz w:val="18"/>
          <w:szCs w:val="18"/>
        </w:rPr>
      </w:pPr>
      <w:r>
        <w:rPr>
          <w:rFonts w:hint="eastAsia" w:ascii="宋体" w:hAnsi="宋体" w:cs="宋体"/>
          <w:bCs/>
          <w:color w:val="000000"/>
          <w:sz w:val="18"/>
          <w:szCs w:val="18"/>
        </w:rPr>
        <w:t>2、商务标计算按报价人最终报价计算。本次评标采用综合评分法。磋商小组对满足竞争性磋商文件实质性要求的报价文件，按照本章规定的评分标准进行打分，并按得分由高到低顺序推荐中标候选人，或根据采购人授权直接确定中标人，但投标报价低于其成本的除外。评审得分相同的，按照最后报价由低到高的顺序推荐。评审得分且最后报价相同的，按照技术指标优劣顺序推荐。</w:t>
      </w:r>
    </w:p>
    <w:p>
      <w:pPr>
        <w:rPr>
          <w:rFonts w:ascii="宋体" w:hAnsi="宋体" w:cs="宋体"/>
          <w:bCs/>
          <w:color w:val="000000"/>
          <w:sz w:val="18"/>
          <w:szCs w:val="18"/>
        </w:rPr>
      </w:pPr>
      <w:r>
        <w:rPr>
          <w:rFonts w:hint="eastAsia" w:ascii="宋体" w:hAnsi="宋体" w:cs="宋体"/>
          <w:bCs/>
          <w:color w:val="000000"/>
          <w:sz w:val="18"/>
          <w:szCs w:val="18"/>
        </w:rPr>
        <w:t>3、如供应商的最终报价低于采购预算的80%，磋商小组可启动磋商报价低于成本问询程序：要求供应商作出书面说明并提供相关证明材料，如供应商在 30 分钟内无法提供不低于成本的相关证明材料， 由磋商小组认定该供应商以低于成本价恶意竞标将并否决其投标。</w:t>
      </w:r>
    </w:p>
    <w:p>
      <w:pPr>
        <w:spacing w:line="360" w:lineRule="auto"/>
        <w:rPr>
          <w:rFonts w:hint="eastAsia"/>
          <w:sz w:val="24"/>
        </w:rPr>
      </w:pPr>
    </w:p>
    <w:p>
      <w:pPr>
        <w:spacing w:line="360" w:lineRule="auto"/>
        <w:rPr>
          <w:rFonts w:hint="eastAsia"/>
          <w:sz w:val="24"/>
        </w:rPr>
      </w:pPr>
    </w:p>
    <w:p>
      <w:pPr>
        <w:spacing w:line="360" w:lineRule="auto"/>
        <w:rPr>
          <w:sz w:val="24"/>
        </w:rPr>
      </w:pPr>
      <w:r>
        <w:rPr>
          <w:rFonts w:hint="eastAsia"/>
          <w:sz w:val="24"/>
        </w:rPr>
        <w:t>附件3：</w:t>
      </w:r>
    </w:p>
    <w:p>
      <w:pPr>
        <w:jc w:val="center"/>
        <w:rPr>
          <w:sz w:val="24"/>
        </w:rPr>
      </w:pPr>
      <w:r>
        <w:rPr>
          <w:rFonts w:hint="eastAsia"/>
          <w:sz w:val="24"/>
        </w:rPr>
        <w:t>供应商报名表</w:t>
      </w:r>
    </w:p>
    <w:p>
      <w:pPr>
        <w:rPr>
          <w:sz w:val="24"/>
        </w:rPr>
      </w:pPr>
      <w:r>
        <w:rPr>
          <w:rFonts w:hint="eastAsia"/>
          <w:sz w:val="24"/>
        </w:rPr>
        <w:t>项目编号：</w:t>
      </w:r>
      <w:r>
        <w:rPr>
          <w:rFonts w:hint="eastAsia"/>
          <w:sz w:val="24"/>
          <w:u w:val="single"/>
        </w:rPr>
        <w:t xml:space="preserve">                          </w:t>
      </w:r>
      <w:r>
        <w:rPr>
          <w:rFonts w:hint="eastAsia"/>
          <w:sz w:val="24"/>
        </w:rPr>
        <w:t>项目名称：</w:t>
      </w:r>
      <w:r>
        <w:rPr>
          <w:rFonts w:hint="eastAsia"/>
          <w:sz w:val="24"/>
          <w:u w:val="single"/>
        </w:rPr>
        <w:t xml:space="preserve"> </w:t>
      </w:r>
      <w:r>
        <w:rPr>
          <w:rFonts w:hint="eastAsia"/>
          <w:bCs/>
          <w:sz w:val="24"/>
          <w:u w:val="single"/>
        </w:rPr>
        <w:t xml:space="preserve">                         </w:t>
      </w:r>
      <w:r>
        <w:rPr>
          <w:rFonts w:hint="eastAsia"/>
          <w:sz w:val="24"/>
        </w:rPr>
        <w:t xml:space="preserve"> </w:t>
      </w:r>
    </w:p>
    <w:tbl>
      <w:tblPr>
        <w:tblStyle w:val="9"/>
        <w:tblW w:w="941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7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供应商名称（盖章）</w:t>
            </w:r>
          </w:p>
        </w:tc>
        <w:tc>
          <w:tcPr>
            <w:tcW w:w="78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联系人姓名</w:t>
            </w:r>
          </w:p>
        </w:tc>
        <w:tc>
          <w:tcPr>
            <w:tcW w:w="78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联系人电话</w:t>
            </w:r>
          </w:p>
        </w:tc>
        <w:tc>
          <w:tcPr>
            <w:tcW w:w="78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联系人邮箱</w:t>
            </w:r>
          </w:p>
        </w:tc>
        <w:tc>
          <w:tcPr>
            <w:tcW w:w="78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restart"/>
            <w:tcBorders>
              <w:top w:val="single" w:color="auto" w:sz="4" w:space="0"/>
              <w:left w:val="single" w:color="auto" w:sz="4" w:space="0"/>
              <w:right w:val="single" w:color="auto" w:sz="4" w:space="0"/>
            </w:tcBorders>
            <w:vAlign w:val="center"/>
          </w:tcPr>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供应商提供的</w:t>
            </w:r>
          </w:p>
          <w:p>
            <w:pPr>
              <w:widowControl/>
              <w:spacing w:before="100" w:beforeAutospacing="1" w:after="100" w:afterAutospacing="1"/>
              <w:jc w:val="left"/>
              <w:rPr>
                <w:rFonts w:ascii="宋体" w:hAnsi="宋体" w:cs="宋体"/>
                <w:kern w:val="0"/>
                <w:szCs w:val="21"/>
              </w:rPr>
            </w:pPr>
            <w:r>
              <w:rPr>
                <w:rFonts w:hint="eastAsia" w:ascii="宋体" w:hAnsi="宋体" w:cs="宋体"/>
                <w:kern w:val="0"/>
                <w:szCs w:val="21"/>
              </w:rPr>
              <w:t>报名资料</w:t>
            </w: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color w:val="000000"/>
                <w:szCs w:val="21"/>
              </w:rPr>
            </w:pPr>
            <w:r>
              <w:rPr>
                <w:rFonts w:hint="eastAsia"/>
                <w:color w:val="000000"/>
                <w:sz w:val="22"/>
              </w:rPr>
              <w:t>1.法人或者其他组织的营业执照等证明文件，如供应商是自然人的提供身份证明材料。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color w:val="000000"/>
                <w:szCs w:val="21"/>
              </w:rPr>
            </w:pPr>
            <w:r>
              <w:rPr>
                <w:rFonts w:hint="eastAsia"/>
                <w:color w:val="000000"/>
                <w:sz w:val="22"/>
              </w:rPr>
              <w:t>2.</w:t>
            </w:r>
            <w:r>
              <w:rPr>
                <w:rFonts w:hint="eastAsia" w:ascii="宋体" w:hAnsi="宋体" w:cs="宋体"/>
                <w:color w:val="333333"/>
                <w:kern w:val="0"/>
                <w:sz w:val="24"/>
                <w:szCs w:val="24"/>
                <w:shd w:val="clear" w:color="auto" w:fill="FFFFFF"/>
              </w:rPr>
              <w:t>财务状况报告，依法缴纳税收和社会保障资金的相关材料；</w:t>
            </w:r>
            <w:r>
              <w:rPr>
                <w:rFonts w:hint="eastAsia"/>
                <w:color w:val="000000"/>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color w:val="000000"/>
                <w:szCs w:val="21"/>
              </w:rPr>
            </w:pPr>
            <w:r>
              <w:rPr>
                <w:rFonts w:hint="eastAsia"/>
                <w:color w:val="000000"/>
                <w:sz w:val="22"/>
              </w:rPr>
              <w:t>3.具备履行合同所必需的设备</w:t>
            </w:r>
            <w:r>
              <w:rPr>
                <w:rFonts w:hint="eastAsia"/>
                <w:color w:val="000000"/>
                <w:sz w:val="22"/>
                <w:lang w:eastAsia="zh-CN"/>
              </w:rPr>
              <w:t>（包含主体及装修设备）</w:t>
            </w:r>
            <w:r>
              <w:rPr>
                <w:rFonts w:hint="eastAsia"/>
                <w:color w:val="000000"/>
                <w:sz w:val="22"/>
              </w:rPr>
              <w:t>和专业技术能力的证明材料。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color w:val="000000"/>
                <w:szCs w:val="21"/>
              </w:rPr>
            </w:pPr>
            <w:r>
              <w:rPr>
                <w:rFonts w:hint="eastAsia"/>
                <w:color w:val="000000"/>
                <w:sz w:val="22"/>
              </w:rPr>
              <w:t>4.参加政府采购活动前3年内在经营活动中没有重大违法记录的书面声明。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color w:val="000000"/>
                <w:szCs w:val="21"/>
              </w:rPr>
            </w:pPr>
            <w:r>
              <w:rPr>
                <w:rFonts w:hint="eastAsia"/>
                <w:color w:val="000000"/>
                <w:sz w:val="22"/>
              </w:rPr>
              <w:t>5.具备法律、行政法规规定的其他条件的证明材料。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vAlign w:val="top"/>
          </w:tcPr>
          <w:p>
            <w:pPr>
              <w:adjustRightInd w:val="0"/>
              <w:snapToGrid w:val="0"/>
              <w:jc w:val="left"/>
              <w:rPr>
                <w:sz w:val="21"/>
                <w:szCs w:val="21"/>
              </w:rPr>
            </w:pPr>
            <w:r>
              <w:rPr>
                <w:rFonts w:hint="eastAsia"/>
                <w:color w:val="000000"/>
                <w:sz w:val="22"/>
              </w:rPr>
              <w:t>6.</w:t>
            </w:r>
            <w:r>
              <w:rPr>
                <w:rFonts w:hint="eastAsia" w:ascii="宋体" w:hAnsi="宋体" w:cs="宋体"/>
                <w:color w:val="333333"/>
                <w:kern w:val="0"/>
                <w:sz w:val="24"/>
                <w:szCs w:val="24"/>
                <w:shd w:val="clear" w:color="auto" w:fill="FFFFFF"/>
              </w:rPr>
              <w:t>未被列入 “信用中国”网站（www.creditchina.gov.cn）失信被执行人、重大税收违法案件当事人名单、“中国政府采购网”（www.ccgp.gov.cn）政府采购严重违法失信行为记录名单的网页打印件。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584" w:type="dxa"/>
            <w:vMerge w:val="continue"/>
            <w:tcBorders>
              <w:left w:val="single" w:color="auto" w:sz="4" w:space="0"/>
              <w:right w:val="single" w:color="auto" w:sz="4" w:space="0"/>
            </w:tcBorders>
            <w:vAlign w:val="center"/>
          </w:tcPr>
          <w:p>
            <w:pPr>
              <w:widowControl/>
              <w:jc w:val="left"/>
              <w:rPr>
                <w:rFonts w:ascii="宋体" w:hAnsi="宋体" w:cs="宋体"/>
                <w:kern w:val="0"/>
                <w:szCs w:val="21"/>
              </w:rPr>
            </w:pPr>
          </w:p>
        </w:tc>
        <w:tc>
          <w:tcPr>
            <w:tcW w:w="7833" w:type="dxa"/>
            <w:tcBorders>
              <w:top w:val="single" w:color="auto" w:sz="4" w:space="0"/>
              <w:left w:val="single" w:color="auto" w:sz="4" w:space="0"/>
              <w:bottom w:val="single" w:color="auto" w:sz="4" w:space="0"/>
              <w:right w:val="single" w:color="auto" w:sz="4" w:space="0"/>
            </w:tcBorders>
          </w:tcPr>
          <w:p>
            <w:pPr>
              <w:adjustRightInd w:val="0"/>
              <w:snapToGrid w:val="0"/>
              <w:jc w:val="left"/>
              <w:rPr>
                <w:color w:val="000000"/>
                <w:szCs w:val="21"/>
              </w:rPr>
            </w:pPr>
            <w:r>
              <w:rPr>
                <w:rFonts w:hint="eastAsia"/>
                <w:color w:val="000000"/>
                <w:szCs w:val="21"/>
              </w:rPr>
              <w:t>7.特定条件：</w:t>
            </w:r>
          </w:p>
          <w:p>
            <w:pPr>
              <w:pStyle w:val="2"/>
              <w:rPr>
                <w:bCs w:val="0"/>
                <w:color w:val="000000"/>
                <w:spacing w:val="0"/>
                <w:kern w:val="2"/>
                <w:sz w:val="21"/>
                <w:szCs w:val="21"/>
              </w:rPr>
            </w:pPr>
            <w:r>
              <w:rPr>
                <w:rFonts w:hint="eastAsia"/>
                <w:bCs w:val="0"/>
                <w:color w:val="000000"/>
                <w:spacing w:val="0"/>
                <w:kern w:val="2"/>
                <w:sz w:val="21"/>
                <w:szCs w:val="21"/>
              </w:rPr>
              <w:t>（1）申请人应具有公路工程施工总承包叁级及以上资质，安全生产许可证在有效期内。</w:t>
            </w:r>
          </w:p>
          <w:p>
            <w:pPr>
              <w:pStyle w:val="2"/>
              <w:rPr>
                <w:bCs w:val="0"/>
                <w:color w:val="000000"/>
                <w:spacing w:val="0"/>
                <w:kern w:val="2"/>
                <w:sz w:val="21"/>
                <w:szCs w:val="21"/>
              </w:rPr>
            </w:pPr>
            <w:r>
              <w:rPr>
                <w:rFonts w:hint="eastAsia"/>
                <w:bCs w:val="0"/>
                <w:color w:val="000000"/>
                <w:spacing w:val="0"/>
                <w:kern w:val="2"/>
                <w:sz w:val="21"/>
                <w:szCs w:val="21"/>
              </w:rPr>
              <w:t>（2）</w:t>
            </w:r>
            <w:r>
              <w:rPr>
                <w:rFonts w:hint="eastAsia"/>
                <w:bCs w:val="0"/>
                <w:color w:val="000000"/>
                <w:spacing w:val="0"/>
                <w:kern w:val="2"/>
                <w:sz w:val="21"/>
                <w:szCs w:val="21"/>
                <w:lang w:eastAsia="zh-CN"/>
              </w:rPr>
              <w:t>要求项目经理</w:t>
            </w:r>
            <w:r>
              <w:rPr>
                <w:rFonts w:hint="eastAsia"/>
                <w:bCs w:val="0"/>
                <w:color w:val="000000"/>
                <w:spacing w:val="0"/>
                <w:kern w:val="2"/>
                <w:sz w:val="21"/>
                <w:szCs w:val="21"/>
              </w:rPr>
              <w:t>近三年（2017年</w:t>
            </w:r>
            <w:r>
              <w:rPr>
                <w:rFonts w:hint="eastAsia"/>
                <w:bCs w:val="0"/>
                <w:color w:val="000000"/>
                <w:spacing w:val="0"/>
                <w:kern w:val="2"/>
                <w:sz w:val="21"/>
                <w:szCs w:val="21"/>
                <w:lang w:val="en-US" w:eastAsia="zh-CN"/>
              </w:rPr>
              <w:t>11</w:t>
            </w:r>
            <w:bookmarkStart w:id="1" w:name="_GoBack"/>
            <w:bookmarkEnd w:id="1"/>
            <w:r>
              <w:rPr>
                <w:rFonts w:hint="eastAsia"/>
                <w:bCs w:val="0"/>
                <w:color w:val="000000"/>
                <w:spacing w:val="0"/>
                <w:kern w:val="2"/>
                <w:sz w:val="21"/>
                <w:szCs w:val="21"/>
              </w:rPr>
              <w:t>月至投标截止时间）至少承担过一个类似业绩（投标人提供县级以上公共交易平台网上中标公示业绩截图、中标通知书、施工合同、工程竣工验收证书原件扫描件并加盖公章予以证明）。</w:t>
            </w:r>
          </w:p>
          <w:p>
            <w:pPr>
              <w:pStyle w:val="2"/>
              <w:rPr>
                <w:bCs w:val="0"/>
                <w:color w:val="000000"/>
                <w:spacing w:val="0"/>
                <w:kern w:val="2"/>
                <w:sz w:val="21"/>
                <w:szCs w:val="21"/>
              </w:rPr>
            </w:pPr>
            <w:r>
              <w:rPr>
                <w:rFonts w:hint="eastAsia"/>
                <w:bCs w:val="0"/>
                <w:color w:val="000000"/>
                <w:spacing w:val="0"/>
                <w:kern w:val="2"/>
                <w:sz w:val="21"/>
                <w:szCs w:val="21"/>
              </w:rPr>
              <w:t>（3）申请人拟派项目经理须具备公路工程专业贰级以及上注册建造师执业资格，具备有效的安全生产“三类人员”B类证书，且未担任其他在施建设工程项目的项目经理。项目管理机构还应配备具有岗位证的施工员、安全员、质检员等相应专业管理人员，其中安全员还应具备安全生产“三类人员”C类证书，项目总工必须具有公路工程相关专业中级工程师及以上职称或注册建造师执业资格；提供所在单位为其缴纳的社保部门出具的社保记录证明及有效的劳动合同。</w:t>
            </w:r>
          </w:p>
          <w:p>
            <w:pPr>
              <w:pStyle w:val="2"/>
              <w:rPr>
                <w:bCs w:val="0"/>
                <w:color w:val="000000"/>
                <w:spacing w:val="0"/>
                <w:kern w:val="2"/>
                <w:sz w:val="21"/>
                <w:szCs w:val="21"/>
              </w:rPr>
            </w:pPr>
            <w:r>
              <w:rPr>
                <w:rFonts w:hint="eastAsia"/>
                <w:bCs w:val="0"/>
                <w:color w:val="000000"/>
                <w:spacing w:val="0"/>
                <w:kern w:val="2"/>
                <w:sz w:val="21"/>
                <w:szCs w:val="21"/>
              </w:rPr>
              <w:t>（4）本工程不接受在阳新县公共资源交易监督管理局有不良记录的企业投标。</w:t>
            </w:r>
          </w:p>
          <w:p>
            <w:pPr>
              <w:pStyle w:val="2"/>
              <w:rPr>
                <w:bCs w:val="0"/>
                <w:color w:val="000000"/>
                <w:spacing w:val="0"/>
                <w:kern w:val="2"/>
                <w:sz w:val="21"/>
                <w:szCs w:val="21"/>
              </w:rPr>
            </w:pPr>
            <w:r>
              <w:rPr>
                <w:rFonts w:hint="eastAsia"/>
                <w:bCs w:val="0"/>
                <w:color w:val="000000"/>
                <w:spacing w:val="0"/>
                <w:kern w:val="2"/>
                <w:sz w:val="21"/>
                <w:szCs w:val="21"/>
              </w:rPr>
              <w:t>（5）所有省内、外建筑企业在鄂从事建筑活动，需登陆湖北省建筑市场监管和诚信信息一体化平台，报送企业基本信息和人员信息。以一体化平台记录公示的信息为准，提供平台信息记录截图并加盖公司公章，如未提供或查实不符合要求或提供虚假材料的作废标处理。</w:t>
            </w:r>
          </w:p>
          <w:p>
            <w:pPr>
              <w:pStyle w:val="2"/>
              <w:rPr>
                <w:bCs w:val="0"/>
                <w:color w:val="000000"/>
                <w:spacing w:val="0"/>
                <w:kern w:val="2"/>
                <w:sz w:val="21"/>
                <w:szCs w:val="21"/>
              </w:rPr>
            </w:pPr>
            <w:r>
              <w:rPr>
                <w:rFonts w:hint="eastAsia"/>
                <w:bCs w:val="0"/>
                <w:color w:val="000000"/>
                <w:spacing w:val="0"/>
                <w:kern w:val="2"/>
                <w:sz w:val="21"/>
                <w:szCs w:val="21"/>
              </w:rPr>
              <w:t>（6）本次招标不接受联合体。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584" w:type="dxa"/>
            <w:tcBorders>
              <w:left w:val="single" w:color="auto" w:sz="4" w:space="0"/>
              <w:bottom w:val="single" w:color="auto" w:sz="4" w:space="0"/>
              <w:right w:val="single" w:color="auto" w:sz="4" w:space="0"/>
            </w:tcBorders>
            <w:vAlign w:val="center"/>
          </w:tcPr>
          <w:p>
            <w:pPr>
              <w:widowControl/>
              <w:jc w:val="left"/>
              <w:rPr>
                <w:rFonts w:ascii="宋体" w:hAnsi="宋体" w:cs="宋体"/>
                <w:b/>
                <w:kern w:val="0"/>
                <w:szCs w:val="21"/>
              </w:rPr>
            </w:pPr>
            <w:r>
              <w:rPr>
                <w:rFonts w:hint="eastAsia" w:ascii="宋体" w:hAnsi="宋体" w:cs="宋体"/>
                <w:b/>
                <w:kern w:val="0"/>
                <w:szCs w:val="21"/>
              </w:rPr>
              <w:t>供应商意见</w:t>
            </w:r>
          </w:p>
        </w:tc>
        <w:tc>
          <w:tcPr>
            <w:tcW w:w="7833" w:type="dxa"/>
            <w:tcBorders>
              <w:top w:val="single" w:color="auto" w:sz="4" w:space="0"/>
              <w:left w:val="single" w:color="auto" w:sz="4" w:space="0"/>
              <w:bottom w:val="single" w:color="auto" w:sz="4" w:space="0"/>
              <w:right w:val="single" w:color="auto" w:sz="4" w:space="0"/>
            </w:tcBorders>
            <w:vAlign w:val="center"/>
          </w:tcPr>
          <w:p>
            <w:pPr>
              <w:adjustRightInd w:val="0"/>
              <w:snapToGrid w:val="0"/>
              <w:rPr>
                <w:color w:val="000000"/>
                <w:szCs w:val="21"/>
              </w:rPr>
            </w:pPr>
            <w:r>
              <w:rPr>
                <w:rFonts w:hint="eastAsia"/>
                <w:color w:val="000000"/>
                <w:szCs w:val="21"/>
              </w:rPr>
              <w:t>供应商可对本项目采购需求的公正性、专业性、合理性等提出自己正确的意见、建议等（可另页详细表述）。</w:t>
            </w:r>
          </w:p>
        </w:tc>
      </w:tr>
    </w:tbl>
    <w:p>
      <w:pPr>
        <w:spacing w:line="240" w:lineRule="exact"/>
        <w:ind w:firstLine="480" w:firstLineChars="200"/>
        <w:rPr>
          <w:bCs/>
          <w:sz w:val="24"/>
        </w:rPr>
      </w:pPr>
    </w:p>
    <w:p>
      <w:pPr>
        <w:spacing w:line="240" w:lineRule="exact"/>
        <w:ind w:firstLine="440" w:firstLineChars="200"/>
        <w:rPr>
          <w:bCs/>
          <w:sz w:val="22"/>
          <w:szCs w:val="21"/>
        </w:rPr>
      </w:pPr>
      <w:r>
        <w:rPr>
          <w:rFonts w:hint="eastAsia"/>
          <w:bCs/>
          <w:sz w:val="22"/>
          <w:szCs w:val="21"/>
        </w:rPr>
        <w:t>注意事项：</w:t>
      </w:r>
    </w:p>
    <w:p>
      <w:pPr>
        <w:spacing w:line="240" w:lineRule="exact"/>
        <w:ind w:firstLine="440" w:firstLineChars="200"/>
        <w:rPr>
          <w:bCs/>
          <w:sz w:val="22"/>
          <w:szCs w:val="21"/>
        </w:rPr>
      </w:pPr>
      <w:r>
        <w:rPr>
          <w:rFonts w:hint="eastAsia"/>
          <w:bCs/>
          <w:sz w:val="22"/>
          <w:szCs w:val="21"/>
        </w:rPr>
        <w:t>1.供应商必须严格按照公告的内容和要求，完整递交有关资料，逾期递交的将予以拒收。</w:t>
      </w:r>
    </w:p>
    <w:p>
      <w:pPr>
        <w:spacing w:line="240" w:lineRule="exact"/>
        <w:ind w:firstLine="440" w:firstLineChars="200"/>
        <w:rPr>
          <w:bCs/>
          <w:sz w:val="22"/>
          <w:szCs w:val="21"/>
        </w:rPr>
      </w:pPr>
      <w:r>
        <w:rPr>
          <w:bCs/>
          <w:sz w:val="22"/>
          <w:szCs w:val="21"/>
        </w:rPr>
        <w:t>2.供应商所递交的资料（全部盖有单位公章）必须为一般常用电脑办公软件能够读取的清晰、易于辨识的彩色</w:t>
      </w:r>
      <w:r>
        <w:rPr>
          <w:rFonts w:hint="eastAsia"/>
          <w:bCs/>
          <w:sz w:val="22"/>
          <w:szCs w:val="21"/>
        </w:rPr>
        <w:t>原件</w:t>
      </w:r>
      <w:r>
        <w:rPr>
          <w:bCs/>
          <w:sz w:val="22"/>
          <w:szCs w:val="21"/>
        </w:rPr>
        <w:t xml:space="preserve">电子扫描件、照片（相关证书和证明材料的原件）,并对其他递交资料内容的真实性、有效性及完整性负责，如提供文件资料有错漏、模糊不清、复印件的电子扫描件、照片、无法读取识别或弄虚作假等，一律属于无效文件。 </w:t>
      </w:r>
    </w:p>
    <w:p>
      <w:pPr>
        <w:spacing w:line="240" w:lineRule="exact"/>
        <w:ind w:firstLine="440" w:firstLineChars="200"/>
      </w:pPr>
      <w:r>
        <w:rPr>
          <w:rFonts w:hint="eastAsia"/>
          <w:bCs/>
          <w:sz w:val="22"/>
          <w:szCs w:val="21"/>
        </w:rPr>
        <w:t xml:space="preserve">3.须在邮件（附件文件名注明公司全称）注明公司全称、项目名称及项目编号（不注明我单位将拒收报名邮件）。  </w:t>
      </w:r>
      <w:r>
        <w:rPr>
          <w:rFonts w:hint="eastAsia"/>
          <w:b/>
          <w:bCs/>
          <w:sz w:val="24"/>
        </w:rPr>
        <w:t xml:space="preserve">     </w:t>
      </w:r>
    </w:p>
    <w:sectPr>
      <w:pgSz w:w="11906" w:h="16838"/>
      <w:pgMar w:top="1213" w:right="1800" w:bottom="947"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libri Light">
    <w:panose1 w:val="020F0302020204030204"/>
    <w:charset w:val="00"/>
    <w:family w:val="roman"/>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小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9A9640D"/>
    <w:rsid w:val="0007369F"/>
    <w:rsid w:val="00131684"/>
    <w:rsid w:val="00155E24"/>
    <w:rsid w:val="00332F6D"/>
    <w:rsid w:val="00416DA6"/>
    <w:rsid w:val="005C1205"/>
    <w:rsid w:val="005F167C"/>
    <w:rsid w:val="005F584B"/>
    <w:rsid w:val="00696E65"/>
    <w:rsid w:val="006D43C2"/>
    <w:rsid w:val="007247C9"/>
    <w:rsid w:val="00727D53"/>
    <w:rsid w:val="009011DE"/>
    <w:rsid w:val="009037D6"/>
    <w:rsid w:val="009E4DE5"/>
    <w:rsid w:val="009F32FD"/>
    <w:rsid w:val="00A97BEA"/>
    <w:rsid w:val="00CA561A"/>
    <w:rsid w:val="00FA0210"/>
    <w:rsid w:val="025F1FFE"/>
    <w:rsid w:val="03A64BCD"/>
    <w:rsid w:val="0A6F628F"/>
    <w:rsid w:val="10E10D3F"/>
    <w:rsid w:val="19BB0243"/>
    <w:rsid w:val="1EE2258D"/>
    <w:rsid w:val="21583DEB"/>
    <w:rsid w:val="21AD0507"/>
    <w:rsid w:val="22791A3A"/>
    <w:rsid w:val="247026F4"/>
    <w:rsid w:val="26F01257"/>
    <w:rsid w:val="28824F97"/>
    <w:rsid w:val="29A9640D"/>
    <w:rsid w:val="2AB471A8"/>
    <w:rsid w:val="2C1E29B3"/>
    <w:rsid w:val="2ECF6D2F"/>
    <w:rsid w:val="33967798"/>
    <w:rsid w:val="35A93A27"/>
    <w:rsid w:val="385B0D10"/>
    <w:rsid w:val="3B4A1721"/>
    <w:rsid w:val="3C095258"/>
    <w:rsid w:val="3D4D42EA"/>
    <w:rsid w:val="3DF6289D"/>
    <w:rsid w:val="3F713CA3"/>
    <w:rsid w:val="404E6159"/>
    <w:rsid w:val="4DD0611A"/>
    <w:rsid w:val="540E74D4"/>
    <w:rsid w:val="541D31F7"/>
    <w:rsid w:val="61B17928"/>
    <w:rsid w:val="69ED74D4"/>
    <w:rsid w:val="7A773B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2"/>
      <w:lang w:val="en-US" w:eastAsia="zh-CN" w:bidi="ar-SA"/>
    </w:rPr>
  </w:style>
  <w:style w:type="paragraph" w:styleId="3">
    <w:name w:val="heading 1"/>
    <w:basedOn w:val="4"/>
    <w:next w:val="4"/>
    <w:link w:val="13"/>
    <w:qFormat/>
    <w:uiPriority w:val="9"/>
    <w:pPr>
      <w:keepNext/>
      <w:keepLines/>
      <w:spacing w:before="340" w:after="330" w:line="576" w:lineRule="auto"/>
      <w:outlineLvl w:val="0"/>
    </w:pPr>
    <w:rPr>
      <w:b/>
      <w:bCs/>
      <w:kern w:val="44"/>
      <w:sz w:val="44"/>
      <w:szCs w:val="44"/>
    </w:rPr>
  </w:style>
  <w:style w:type="paragraph" w:styleId="5">
    <w:name w:val="heading 2"/>
    <w:basedOn w:val="1"/>
    <w:next w:val="1"/>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0">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customStyle="1" w:styleId="2">
    <w:name w:val="表格文字"/>
    <w:basedOn w:val="1"/>
    <w:qFormat/>
    <w:uiPriority w:val="0"/>
    <w:pPr>
      <w:spacing w:before="25" w:after="25"/>
      <w:jc w:val="left"/>
    </w:pPr>
    <w:rPr>
      <w:bCs/>
      <w:spacing w:val="10"/>
      <w:kern w:val="0"/>
      <w:sz w:val="24"/>
    </w:rPr>
  </w:style>
  <w:style w:type="paragraph" w:customStyle="1" w:styleId="4">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footer"/>
    <w:basedOn w:val="1"/>
    <w:unhideWhenUsed/>
    <w:qFormat/>
    <w:uiPriority w:val="0"/>
    <w:pPr>
      <w:tabs>
        <w:tab w:val="center" w:pos="4153"/>
        <w:tab w:val="right" w:pos="8306"/>
      </w:tabs>
      <w:snapToGrid w:val="0"/>
      <w:jc w:val="left"/>
    </w:pPr>
    <w:rPr>
      <w:sz w:val="18"/>
      <w:szCs w:val="18"/>
    </w:rPr>
  </w:style>
  <w:style w:type="paragraph" w:styleId="7">
    <w:name w:val="header"/>
    <w:basedOn w:val="1"/>
    <w:link w:val="14"/>
    <w:uiPriority w:val="0"/>
    <w:pPr>
      <w:pBdr>
        <w:bottom w:val="single" w:color="auto" w:sz="6" w:space="1"/>
      </w:pBdr>
      <w:tabs>
        <w:tab w:val="center" w:pos="4153"/>
        <w:tab w:val="right" w:pos="8306"/>
      </w:tabs>
      <w:snapToGrid w:val="0"/>
      <w:jc w:val="center"/>
    </w:pPr>
    <w:rPr>
      <w:sz w:val="18"/>
      <w:szCs w:val="18"/>
    </w:rPr>
  </w:style>
  <w:style w:type="paragraph" w:styleId="8">
    <w:name w:val="Title"/>
    <w:basedOn w:val="1"/>
    <w:next w:val="1"/>
    <w:qFormat/>
    <w:uiPriority w:val="0"/>
    <w:pPr>
      <w:spacing w:before="240" w:after="60"/>
      <w:jc w:val="center"/>
      <w:outlineLvl w:val="0"/>
    </w:pPr>
    <w:rPr>
      <w:rFonts w:ascii="Cambria" w:hAnsi="Cambria" w:eastAsia="方正小标宋简体" w:cs="Times New Roman"/>
      <w:b/>
      <w:bCs/>
      <w:sz w:val="32"/>
      <w:szCs w:val="32"/>
    </w:rPr>
  </w:style>
  <w:style w:type="character" w:styleId="11">
    <w:name w:val="Hyperlink"/>
    <w:basedOn w:val="10"/>
    <w:qFormat/>
    <w:uiPriority w:val="0"/>
    <w:rPr>
      <w:color w:val="0000FF"/>
      <w:u w:val="single"/>
    </w:rPr>
  </w:style>
  <w:style w:type="paragraph" w:customStyle="1" w:styleId="12">
    <w:name w:val="样式 首行缩进:  2 字符"/>
    <w:basedOn w:val="1"/>
    <w:qFormat/>
    <w:uiPriority w:val="0"/>
    <w:pPr>
      <w:spacing w:line="360" w:lineRule="auto"/>
      <w:ind w:firstLine="480" w:firstLineChars="200"/>
      <w:jc w:val="left"/>
    </w:pPr>
    <w:rPr>
      <w:rFonts w:ascii="宋体" w:hAnsi="宋体" w:cs="宋体"/>
      <w:color w:val="000000"/>
      <w:sz w:val="24"/>
      <w:szCs w:val="20"/>
    </w:rPr>
  </w:style>
  <w:style w:type="character" w:customStyle="1" w:styleId="13">
    <w:name w:val="标题 1 Char"/>
    <w:basedOn w:val="10"/>
    <w:link w:val="3"/>
    <w:qFormat/>
    <w:uiPriority w:val="0"/>
    <w:rPr>
      <w:b/>
      <w:bCs/>
      <w:kern w:val="44"/>
      <w:sz w:val="44"/>
      <w:szCs w:val="44"/>
    </w:rPr>
  </w:style>
  <w:style w:type="character" w:customStyle="1" w:styleId="14">
    <w:name w:val="页眉 Char"/>
    <w:basedOn w:val="10"/>
    <w:link w:val="7"/>
    <w:qFormat/>
    <w:uiPriority w:val="0"/>
    <w:rPr>
      <w:rFonts w:ascii="Calibri" w:hAnsi="Calibri" w:cs="黑体"/>
      <w:kern w:val="2"/>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4</Pages>
  <Words>3396</Words>
  <Characters>476</Characters>
  <Lines>3</Lines>
  <Paragraphs>7</Paragraphs>
  <TotalTime>0</TotalTime>
  <ScaleCrop>false</ScaleCrop>
  <LinksUpToDate>false</LinksUpToDate>
  <CharactersWithSpaces>3865</CharactersWithSpaces>
  <Application>WPS Office_11.1.0.10072_F1E327BC-269C-435d-A152-05C5408002CA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2020-09-08T06:21:00Z</dcterms:created>
  <dc:creator>糊涂精灵</dc:creator>
  <cp:lastModifiedBy>苏苏</cp:lastModifiedBy>
  <cp:lastPrinted>2020-10-12T07:23:00Z</cp:lastPrinted>
  <dcterms:modified xsi:type="dcterms:W3CDTF">2020-11-09T05:10:06Z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