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312" w:afterLines="100"/>
        <w:jc w:val="both"/>
        <w:rPr>
          <w:rFonts w:hint="default" w:ascii="黑体" w:eastAsia="黑体"/>
          <w:sz w:val="28"/>
          <w:szCs w:val="28"/>
          <w:lang w:val="en-US" w:eastAsia="zh-CN"/>
        </w:rPr>
      </w:pPr>
      <w:bookmarkStart w:id="0" w:name="lockedWord"/>
      <w:r>
        <w:rPr>
          <w:rFonts w:hint="eastAsia" w:ascii="黑体" w:eastAsia="黑体"/>
          <w:sz w:val="28"/>
          <w:szCs w:val="28"/>
          <w:lang w:eastAsia="zh-CN"/>
        </w:rPr>
        <w:t>附件</w:t>
      </w:r>
      <w:r>
        <w:rPr>
          <w:rFonts w:hint="eastAsia" w:ascii="黑体" w:eastAsia="黑体"/>
          <w:sz w:val="28"/>
          <w:szCs w:val="28"/>
          <w:lang w:val="en-US" w:eastAsia="zh-CN"/>
        </w:rPr>
        <w:t>1</w:t>
      </w:r>
    </w:p>
    <w:p>
      <w:pPr>
        <w:spacing w:after="312" w:afterLines="100"/>
        <w:ind w:firstLine="3080" w:firstLineChars="700"/>
        <w:jc w:val="both"/>
        <w:rPr>
          <w:rFonts w:ascii="黑体" w:eastAsia="黑体"/>
          <w:sz w:val="44"/>
          <w:szCs w:val="44"/>
        </w:rPr>
      </w:pPr>
      <w:r>
        <w:rPr>
          <w:rFonts w:hint="eastAsia" w:ascii="黑体" w:eastAsia="黑体"/>
          <w:sz w:val="44"/>
          <w:szCs w:val="44"/>
        </w:rPr>
        <w:t>阳新县政府采购项目</w:t>
      </w:r>
    </w:p>
    <w:p>
      <w:pPr>
        <w:spacing w:after="312" w:afterLines="100"/>
        <w:jc w:val="center"/>
        <w:rPr>
          <w:rFonts w:ascii="黑体" w:eastAsia="黑体"/>
          <w:sz w:val="44"/>
          <w:szCs w:val="44"/>
        </w:rPr>
      </w:pPr>
    </w:p>
    <w:p>
      <w:pPr>
        <w:spacing w:after="312" w:afterLines="100"/>
        <w:jc w:val="center"/>
        <w:rPr>
          <w:rFonts w:ascii="黑体" w:eastAsia="黑体"/>
          <w:sz w:val="44"/>
          <w:szCs w:val="44"/>
        </w:rPr>
      </w:pPr>
      <w:r>
        <w:rPr>
          <w:rFonts w:hint="eastAsia" w:ascii="黑体" w:eastAsia="黑体"/>
          <w:sz w:val="44"/>
          <w:szCs w:val="44"/>
        </w:rPr>
        <w:t>采购需求文件</w:t>
      </w:r>
    </w:p>
    <w:p>
      <w:pPr>
        <w:spacing w:after="312" w:afterLines="100"/>
        <w:jc w:val="center"/>
        <w:rPr>
          <w:rFonts w:ascii="黑体" w:eastAsia="黑体"/>
          <w:sz w:val="44"/>
          <w:szCs w:val="44"/>
        </w:rPr>
      </w:pPr>
    </w:p>
    <w:p>
      <w:pPr>
        <w:spacing w:after="312" w:afterLines="100"/>
        <w:jc w:val="center"/>
        <w:rPr>
          <w:rFonts w:ascii="黑体" w:eastAsia="黑体"/>
          <w:sz w:val="44"/>
          <w:szCs w:val="44"/>
        </w:rPr>
      </w:pPr>
    </w:p>
    <w:p>
      <w:pPr>
        <w:spacing w:after="312" w:afterLines="100"/>
        <w:ind w:left="2534" w:leftChars="540" w:hanging="1400" w:hangingChars="500"/>
        <w:jc w:val="left"/>
        <w:rPr>
          <w:rFonts w:hint="eastAsia" w:ascii="黑体" w:eastAsia="黑体"/>
          <w:sz w:val="28"/>
          <w:szCs w:val="32"/>
        </w:rPr>
      </w:pPr>
      <w:r>
        <w:rPr>
          <w:rFonts w:hint="eastAsia" w:ascii="黑体" w:eastAsia="黑体"/>
          <w:sz w:val="28"/>
          <w:szCs w:val="32"/>
        </w:rPr>
        <w:t>项目名称：阳新县三溪镇卫生院发热门诊建设项目</w:t>
      </w:r>
    </w:p>
    <w:p>
      <w:pPr>
        <w:spacing w:after="312" w:afterLines="100"/>
        <w:ind w:left="1134" w:leftChars="540"/>
        <w:jc w:val="left"/>
        <w:rPr>
          <w:rFonts w:hint="eastAsia" w:ascii="黑体" w:eastAsia="黑体"/>
          <w:sz w:val="28"/>
          <w:szCs w:val="32"/>
          <w:lang w:eastAsia="zh-CN"/>
        </w:rPr>
      </w:pPr>
      <w:r>
        <w:rPr>
          <w:rFonts w:hint="eastAsia" w:ascii="黑体" w:eastAsia="黑体"/>
          <w:sz w:val="28"/>
          <w:szCs w:val="32"/>
        </w:rPr>
        <w:t>采购单位：阳新县三溪镇卫生院</w:t>
      </w:r>
    </w:p>
    <w:p>
      <w:pPr>
        <w:spacing w:after="312" w:afterLines="100"/>
        <w:ind w:left="1134" w:leftChars="540"/>
        <w:jc w:val="left"/>
        <w:rPr>
          <w:rFonts w:hint="eastAsia" w:ascii="黑体" w:eastAsia="黑体"/>
          <w:sz w:val="28"/>
          <w:szCs w:val="32"/>
          <w:lang w:eastAsia="zh-CN"/>
        </w:rPr>
      </w:pPr>
      <w:r>
        <w:rPr>
          <w:rFonts w:hint="eastAsia" w:ascii="黑体" w:eastAsia="黑体"/>
          <w:sz w:val="28"/>
          <w:szCs w:val="32"/>
        </w:rPr>
        <w:t>联 系 人：</w:t>
      </w:r>
      <w:r>
        <w:rPr>
          <w:rFonts w:hint="eastAsia" w:ascii="黑体" w:eastAsia="黑体"/>
          <w:sz w:val="28"/>
          <w:szCs w:val="32"/>
          <w:lang w:eastAsia="zh-CN"/>
        </w:rPr>
        <w:t>尹传美</w:t>
      </w:r>
    </w:p>
    <w:p>
      <w:pPr>
        <w:spacing w:after="312" w:afterLines="100"/>
        <w:ind w:left="1134" w:leftChars="540"/>
        <w:jc w:val="left"/>
        <w:rPr>
          <w:rFonts w:hint="eastAsia" w:ascii="黑体" w:eastAsia="黑体"/>
          <w:sz w:val="28"/>
          <w:szCs w:val="32"/>
          <w:lang w:val="en-US" w:eastAsia="zh-CN"/>
        </w:rPr>
      </w:pPr>
      <w:r>
        <w:rPr>
          <w:rFonts w:hint="eastAsia" w:ascii="黑体" w:eastAsia="黑体"/>
          <w:sz w:val="28"/>
          <w:szCs w:val="32"/>
        </w:rPr>
        <w:t>联系信息：</w:t>
      </w:r>
      <w:r>
        <w:rPr>
          <w:rFonts w:hint="eastAsia" w:ascii="黑体" w:eastAsia="黑体"/>
          <w:sz w:val="28"/>
          <w:szCs w:val="32"/>
          <w:lang w:val="en-US" w:eastAsia="zh-CN"/>
        </w:rPr>
        <w:t>18995799996</w:t>
      </w:r>
    </w:p>
    <w:p>
      <w:pPr>
        <w:spacing w:after="312" w:afterLines="100"/>
        <w:ind w:left="1134" w:leftChars="540"/>
        <w:jc w:val="left"/>
        <w:rPr>
          <w:rFonts w:hint="eastAsia" w:ascii="黑体" w:hAnsi="黑体" w:eastAsia="黑体" w:cs="黑体"/>
          <w:sz w:val="28"/>
          <w:szCs w:val="28"/>
          <w:lang w:val="en-US" w:eastAsia="zh-CN"/>
        </w:rPr>
      </w:pPr>
      <w:r>
        <w:rPr>
          <w:rFonts w:hint="eastAsia" w:ascii="黑体" w:eastAsia="黑体"/>
          <w:sz w:val="28"/>
          <w:szCs w:val="32"/>
        </w:rPr>
        <w:t>地址：</w:t>
      </w:r>
      <w:r>
        <w:rPr>
          <w:rFonts w:hint="eastAsia" w:ascii="黑体" w:eastAsia="黑体"/>
          <w:sz w:val="28"/>
          <w:szCs w:val="32"/>
          <w:lang w:eastAsia="zh-CN"/>
        </w:rPr>
        <w:t>阳新县三溪镇三溪街</w:t>
      </w:r>
      <w:r>
        <w:rPr>
          <w:rFonts w:hint="eastAsia" w:ascii="黑体" w:eastAsia="黑体"/>
          <w:sz w:val="28"/>
          <w:szCs w:val="32"/>
          <w:lang w:val="en-US" w:eastAsia="zh-CN"/>
        </w:rPr>
        <w:t xml:space="preserve">   </w:t>
      </w:r>
    </w:p>
    <w:p>
      <w:pPr>
        <w:spacing w:after="312" w:afterLines="100"/>
        <w:ind w:left="1134" w:leftChars="540"/>
        <w:jc w:val="left"/>
        <w:rPr>
          <w:rFonts w:ascii="黑体" w:eastAsia="黑体"/>
          <w:sz w:val="28"/>
          <w:szCs w:val="32"/>
        </w:rPr>
      </w:pPr>
      <w:r>
        <w:rPr>
          <w:rFonts w:hint="eastAsia" w:ascii="黑体" w:eastAsia="黑体"/>
          <w:sz w:val="28"/>
          <w:szCs w:val="32"/>
        </w:rPr>
        <w:t>采购预算：212</w:t>
      </w:r>
      <w:r>
        <w:rPr>
          <w:rFonts w:hint="eastAsia" w:ascii="黑体" w:eastAsia="黑体"/>
          <w:sz w:val="28"/>
          <w:szCs w:val="32"/>
          <w:lang w:val="en-US" w:eastAsia="zh-CN"/>
        </w:rPr>
        <w:t>.</w:t>
      </w:r>
      <w:r>
        <w:rPr>
          <w:rFonts w:hint="eastAsia" w:ascii="黑体" w:eastAsia="黑体"/>
          <w:sz w:val="28"/>
          <w:szCs w:val="32"/>
        </w:rPr>
        <w:t>615267</w:t>
      </w:r>
      <w:r>
        <w:rPr>
          <w:rFonts w:hint="eastAsia" w:ascii="黑体" w:eastAsia="黑体"/>
          <w:sz w:val="28"/>
          <w:szCs w:val="32"/>
          <w:lang w:val="en-US" w:eastAsia="zh-CN"/>
        </w:rPr>
        <w:t>万元</w:t>
      </w:r>
      <w:r>
        <w:rPr>
          <w:rFonts w:hint="eastAsia" w:ascii="黑体" w:eastAsia="黑体"/>
          <w:sz w:val="28"/>
          <w:szCs w:val="32"/>
        </w:rPr>
        <w:t>（阳财采计备〔20</w:t>
      </w:r>
      <w:r>
        <w:rPr>
          <w:rFonts w:hint="eastAsia" w:ascii="黑体" w:eastAsia="黑体"/>
          <w:sz w:val="28"/>
          <w:szCs w:val="32"/>
          <w:lang w:val="en-US" w:eastAsia="zh-CN"/>
        </w:rPr>
        <w:t>20</w:t>
      </w:r>
      <w:r>
        <w:rPr>
          <w:rFonts w:hint="eastAsia" w:ascii="黑体" w:eastAsia="黑体"/>
          <w:sz w:val="28"/>
          <w:szCs w:val="32"/>
        </w:rPr>
        <w:t>〕</w:t>
      </w:r>
      <w:r>
        <w:rPr>
          <w:rFonts w:hint="eastAsia" w:ascii="黑体" w:eastAsia="黑体"/>
          <w:sz w:val="28"/>
          <w:szCs w:val="32"/>
          <w:lang w:val="en-US" w:eastAsia="zh-CN"/>
        </w:rPr>
        <w:t xml:space="preserve">B174 </w:t>
      </w:r>
      <w:r>
        <w:rPr>
          <w:rFonts w:hint="eastAsia" w:ascii="黑体" w:eastAsia="黑体"/>
          <w:sz w:val="28"/>
          <w:szCs w:val="32"/>
        </w:rPr>
        <w:t>号）</w:t>
      </w:r>
    </w:p>
    <w:p>
      <w:pPr>
        <w:spacing w:after="312" w:afterLines="100"/>
        <w:ind w:left="1134" w:leftChars="540"/>
        <w:jc w:val="left"/>
        <w:rPr>
          <w:rFonts w:ascii="黑体" w:eastAsia="黑体"/>
          <w:sz w:val="28"/>
          <w:szCs w:val="32"/>
        </w:rPr>
      </w:pPr>
      <w:r>
        <w:rPr>
          <w:rFonts w:hint="eastAsia" w:ascii="黑体" w:eastAsia="黑体"/>
          <w:sz w:val="28"/>
          <w:szCs w:val="32"/>
        </w:rPr>
        <w:t xml:space="preserve">          </w:t>
      </w:r>
    </w:p>
    <w:p>
      <w:r>
        <w:br w:type="page"/>
      </w:r>
    </w:p>
    <w:p>
      <w:pPr>
        <w:pStyle w:val="4"/>
        <w:jc w:val="center"/>
        <w:rPr>
          <w:rFonts w:hint="eastAsia"/>
          <w:sz w:val="36"/>
          <w:szCs w:val="36"/>
        </w:rPr>
      </w:pPr>
      <w:bookmarkStart w:id="1" w:name="_Toc480553174"/>
    </w:p>
    <w:p>
      <w:pPr>
        <w:pStyle w:val="4"/>
        <w:jc w:val="center"/>
        <w:rPr>
          <w:rFonts w:hint="eastAsia" w:asciiTheme="minorEastAsia" w:hAnsiTheme="minorEastAsia" w:eastAsiaTheme="minorEastAsia" w:cstheme="minorEastAsia"/>
          <w:b/>
          <w:bCs w:val="0"/>
          <w:sz w:val="36"/>
          <w:szCs w:val="36"/>
        </w:rPr>
      </w:pPr>
      <w:r>
        <w:rPr>
          <w:rFonts w:hint="eastAsia"/>
          <w:sz w:val="36"/>
          <w:szCs w:val="36"/>
        </w:rPr>
        <w:t>采购项目技术规格、参数及要求</w:t>
      </w:r>
      <w:bookmarkEnd w:id="1"/>
    </w:p>
    <w:p>
      <w:pPr>
        <w:spacing w:line="440" w:lineRule="exact"/>
        <w:rPr>
          <w:rFonts w:hint="eastAsia" w:asciiTheme="minorEastAsia" w:hAnsiTheme="minorEastAsia" w:eastAsiaTheme="minorEastAsia" w:cstheme="minorEastAsia"/>
          <w:b w:val="0"/>
          <w:bCs/>
          <w:sz w:val="24"/>
          <w:szCs w:val="24"/>
          <w:lang w:eastAsia="zh-CN"/>
        </w:rPr>
      </w:pPr>
      <w:r>
        <w:rPr>
          <w:rFonts w:hint="eastAsia" w:asciiTheme="minorEastAsia" w:hAnsiTheme="minorEastAsia" w:eastAsiaTheme="minorEastAsia" w:cstheme="minorEastAsia"/>
          <w:b w:val="0"/>
          <w:bCs/>
          <w:sz w:val="24"/>
          <w:szCs w:val="24"/>
          <w:lang w:val="en-US" w:eastAsia="zh-CN"/>
        </w:rPr>
        <w:t>1.</w:t>
      </w:r>
      <w:r>
        <w:rPr>
          <w:rFonts w:hint="eastAsia" w:asciiTheme="minorEastAsia" w:hAnsiTheme="minorEastAsia" w:eastAsiaTheme="minorEastAsia" w:cstheme="minorEastAsia"/>
          <w:b w:val="0"/>
          <w:bCs/>
          <w:sz w:val="24"/>
          <w:szCs w:val="24"/>
        </w:rPr>
        <w:t>采购内容</w:t>
      </w:r>
      <w:r>
        <w:rPr>
          <w:rFonts w:hint="eastAsia" w:asciiTheme="minorEastAsia" w:hAnsiTheme="minorEastAsia" w:eastAsiaTheme="minorEastAsia" w:cstheme="minorEastAsia"/>
          <w:b w:val="0"/>
          <w:bCs/>
          <w:sz w:val="24"/>
          <w:szCs w:val="24"/>
          <w:lang w:eastAsia="zh-CN"/>
        </w:rPr>
        <w:t>：</w:t>
      </w:r>
      <w:r>
        <w:rPr>
          <w:rFonts w:hint="eastAsia" w:asciiTheme="minorEastAsia" w:hAnsiTheme="minorEastAsia" w:eastAsiaTheme="minorEastAsia" w:cstheme="minorEastAsia"/>
          <w:b w:val="0"/>
          <w:bCs/>
          <w:sz w:val="24"/>
          <w:szCs w:val="24"/>
        </w:rPr>
        <w:t>阳新县三溪镇卫生院发热门诊建设项目</w:t>
      </w:r>
    </w:p>
    <w:p>
      <w:pPr>
        <w:spacing w:line="360" w:lineRule="auto"/>
        <w:rPr>
          <w:rFonts w:ascii="宋体" w:hAnsi="宋体"/>
          <w:b w:val="0"/>
          <w:bCs/>
          <w:kern w:val="44"/>
          <w:sz w:val="24"/>
        </w:rPr>
      </w:pPr>
      <w:r>
        <w:rPr>
          <w:rFonts w:hint="eastAsia" w:ascii="宋体" w:hAnsi="宋体"/>
          <w:b w:val="0"/>
          <w:bCs/>
          <w:kern w:val="44"/>
          <w:sz w:val="24"/>
        </w:rPr>
        <w:t>2、工期：</w:t>
      </w:r>
      <w:r>
        <w:rPr>
          <w:rFonts w:hint="eastAsia"/>
          <w:b w:val="0"/>
          <w:bCs/>
          <w:sz w:val="24"/>
          <w:szCs w:val="24"/>
          <w:highlight w:val="none"/>
          <w:lang w:val="en-US" w:eastAsia="zh-CN"/>
        </w:rPr>
        <w:t>90</w:t>
      </w:r>
      <w:r>
        <w:rPr>
          <w:rFonts w:hint="eastAsia"/>
          <w:b w:val="0"/>
          <w:bCs/>
          <w:sz w:val="24"/>
          <w:szCs w:val="24"/>
          <w:highlight w:val="none"/>
        </w:rPr>
        <w:t>日历天；以</w:t>
      </w:r>
      <w:r>
        <w:rPr>
          <w:rFonts w:hint="eastAsia"/>
          <w:b w:val="0"/>
          <w:bCs/>
          <w:sz w:val="24"/>
          <w:szCs w:val="24"/>
        </w:rPr>
        <w:t>建设单位开工令为准</w:t>
      </w:r>
      <w:r>
        <w:rPr>
          <w:rFonts w:hint="eastAsia" w:ascii="宋体" w:hAnsi="宋体"/>
          <w:b w:val="0"/>
          <w:bCs/>
          <w:kern w:val="44"/>
          <w:sz w:val="24"/>
        </w:rPr>
        <w:t>。</w:t>
      </w:r>
    </w:p>
    <w:p>
      <w:pPr>
        <w:spacing w:line="360" w:lineRule="auto"/>
        <w:rPr>
          <w:rFonts w:hint="eastAsia" w:asciiTheme="minorEastAsia" w:hAnsiTheme="minorEastAsia" w:eastAsiaTheme="minorEastAsia" w:cstheme="minorEastAsia"/>
          <w:b w:val="0"/>
          <w:bCs/>
          <w:sz w:val="24"/>
          <w:szCs w:val="24"/>
          <w:lang w:eastAsia="zh-CN"/>
        </w:rPr>
      </w:pPr>
      <w:r>
        <w:rPr>
          <w:rFonts w:hint="eastAsia" w:ascii="宋体" w:hAnsi="宋体"/>
          <w:b w:val="0"/>
          <w:bCs/>
          <w:kern w:val="44"/>
          <w:sz w:val="24"/>
        </w:rPr>
        <w:t>3、施工地点：</w:t>
      </w:r>
      <w:r>
        <w:rPr>
          <w:rFonts w:hint="eastAsia" w:asciiTheme="minorEastAsia" w:hAnsiTheme="minorEastAsia" w:eastAsiaTheme="minorEastAsia" w:cstheme="minorEastAsia"/>
          <w:b w:val="0"/>
          <w:bCs/>
          <w:sz w:val="24"/>
          <w:szCs w:val="24"/>
        </w:rPr>
        <w:t>阳新县三溪镇</w:t>
      </w:r>
      <w:r>
        <w:rPr>
          <w:rFonts w:hint="eastAsia" w:asciiTheme="minorEastAsia" w:hAnsiTheme="minorEastAsia" w:eastAsiaTheme="minorEastAsia" w:cstheme="minorEastAsia"/>
          <w:b w:val="0"/>
          <w:bCs/>
          <w:sz w:val="24"/>
          <w:szCs w:val="24"/>
          <w:lang w:eastAsia="zh-CN"/>
        </w:rPr>
        <w:t>。</w:t>
      </w:r>
    </w:p>
    <w:p>
      <w:pPr>
        <w:spacing w:line="360" w:lineRule="auto"/>
        <w:rPr>
          <w:rFonts w:ascii="宋体" w:hAnsi="宋体"/>
          <w:b w:val="0"/>
          <w:bCs/>
          <w:kern w:val="44"/>
          <w:sz w:val="24"/>
        </w:rPr>
      </w:pPr>
      <w:r>
        <w:rPr>
          <w:rFonts w:hint="eastAsia" w:ascii="宋体" w:hAnsi="宋体"/>
          <w:b w:val="0"/>
          <w:bCs/>
          <w:kern w:val="44"/>
          <w:sz w:val="24"/>
        </w:rPr>
        <w:t>4、采购预算：212</w:t>
      </w:r>
      <w:r>
        <w:rPr>
          <w:rFonts w:hint="eastAsia" w:ascii="宋体" w:hAnsi="宋体"/>
          <w:b w:val="0"/>
          <w:bCs/>
          <w:kern w:val="44"/>
          <w:sz w:val="24"/>
          <w:lang w:val="en-US" w:eastAsia="zh-CN"/>
        </w:rPr>
        <w:t>.</w:t>
      </w:r>
      <w:r>
        <w:rPr>
          <w:rFonts w:hint="eastAsia" w:ascii="宋体" w:hAnsi="宋体"/>
          <w:b w:val="0"/>
          <w:bCs/>
          <w:kern w:val="44"/>
          <w:sz w:val="24"/>
        </w:rPr>
        <w:t>615267万元，超过预算作无效投标处理。</w:t>
      </w:r>
    </w:p>
    <w:p>
      <w:pPr>
        <w:spacing w:line="360" w:lineRule="auto"/>
        <w:rPr>
          <w:rFonts w:hint="eastAsia" w:ascii="宋体" w:hAnsi="宋体" w:eastAsia="宋体"/>
          <w:b w:val="0"/>
          <w:bCs/>
          <w:kern w:val="44"/>
          <w:sz w:val="24"/>
          <w:lang w:eastAsia="zh-CN"/>
        </w:rPr>
      </w:pPr>
      <w:r>
        <w:rPr>
          <w:rFonts w:hint="eastAsia" w:ascii="宋体" w:hAnsi="宋体"/>
          <w:b w:val="0"/>
          <w:bCs/>
          <w:kern w:val="44"/>
          <w:sz w:val="24"/>
        </w:rPr>
        <w:t>5、质量目标：达到国家规定的验收合格标准</w:t>
      </w:r>
      <w:r>
        <w:rPr>
          <w:rFonts w:hint="eastAsia" w:ascii="宋体" w:hAnsi="宋体"/>
          <w:b w:val="0"/>
          <w:bCs/>
          <w:kern w:val="44"/>
          <w:sz w:val="24"/>
          <w:lang w:eastAsia="zh-CN"/>
        </w:rPr>
        <w:t>。</w:t>
      </w:r>
    </w:p>
    <w:p>
      <w:pPr>
        <w:spacing w:line="360" w:lineRule="auto"/>
        <w:rPr>
          <w:rFonts w:hint="eastAsia" w:ascii="宋体" w:hAnsi="宋体" w:eastAsia="宋体"/>
          <w:b w:val="0"/>
          <w:bCs/>
          <w:kern w:val="44"/>
          <w:sz w:val="24"/>
          <w:lang w:eastAsia="zh-CN"/>
        </w:rPr>
      </w:pPr>
      <w:r>
        <w:rPr>
          <w:rFonts w:hint="eastAsia" w:ascii="宋体" w:hAnsi="宋体"/>
          <w:b w:val="0"/>
          <w:bCs/>
          <w:kern w:val="44"/>
          <w:sz w:val="24"/>
        </w:rPr>
        <w:t>6、付款方式：以双方协商为准</w:t>
      </w:r>
      <w:r>
        <w:rPr>
          <w:rFonts w:hint="eastAsia" w:ascii="宋体" w:hAnsi="宋体"/>
          <w:b w:val="0"/>
          <w:bCs/>
          <w:kern w:val="44"/>
          <w:sz w:val="24"/>
          <w:lang w:eastAsia="zh-CN"/>
        </w:rPr>
        <w:t>。</w:t>
      </w:r>
    </w:p>
    <w:p>
      <w:pPr>
        <w:spacing w:line="360" w:lineRule="auto"/>
        <w:rPr>
          <w:rFonts w:ascii="宋体" w:hAnsi="宋体"/>
          <w:b w:val="0"/>
          <w:bCs/>
          <w:kern w:val="44"/>
          <w:sz w:val="24"/>
        </w:rPr>
      </w:pPr>
      <w:r>
        <w:rPr>
          <w:rFonts w:hint="eastAsia" w:ascii="宋体" w:hAnsi="宋体"/>
          <w:b w:val="0"/>
          <w:bCs/>
          <w:kern w:val="44"/>
          <w:sz w:val="24"/>
        </w:rPr>
        <w:t>7、工程量清单见附件。</w:t>
      </w:r>
    </w:p>
    <w:p>
      <w:pPr>
        <w:ind w:firstLine="420" w:firstLineChars="200"/>
      </w:pPr>
    </w:p>
    <w:p>
      <w:pPr>
        <w:pStyle w:val="7"/>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lang w:eastAsia="zh-CN"/>
        </w:rPr>
        <w:object>
          <v:shape id="_x0000_i1025" o:spt="75" type="#_x0000_t75" style="height:66pt;width:72.7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color w:val="000000"/>
          <w:sz w:val="24"/>
          <w:szCs w:val="24"/>
          <w:lang w:eastAsia="zh-CN"/>
        </w:rPr>
      </w:pPr>
    </w:p>
    <w:p>
      <w:pPr>
        <w:pStyle w:val="7"/>
        <w:rPr>
          <w:rFonts w:hint="eastAsia" w:asciiTheme="minorEastAsia" w:hAnsiTheme="minorEastAsia" w:eastAsiaTheme="minorEastAsia" w:cstheme="minorEastAsia"/>
          <w:b/>
          <w:bCs/>
          <w:color w:val="000000"/>
          <w:sz w:val="24"/>
          <w:szCs w:val="24"/>
          <w:lang w:val="en-US" w:eastAsia="zh-CN"/>
        </w:rPr>
      </w:pPr>
      <w:r>
        <w:rPr>
          <w:rFonts w:hint="eastAsia" w:asciiTheme="minorEastAsia" w:hAnsiTheme="minorEastAsia" w:eastAsiaTheme="minorEastAsia" w:cstheme="minorEastAsia"/>
          <w:b/>
          <w:bCs/>
          <w:color w:val="000000"/>
          <w:sz w:val="24"/>
          <w:szCs w:val="24"/>
          <w:lang w:eastAsia="zh-CN"/>
        </w:rPr>
        <w:t>附件</w:t>
      </w:r>
      <w:r>
        <w:rPr>
          <w:rFonts w:hint="eastAsia" w:asciiTheme="minorEastAsia" w:hAnsiTheme="minorEastAsia" w:eastAsiaTheme="minorEastAsia" w:cstheme="minorEastAsia"/>
          <w:b/>
          <w:bCs/>
          <w:color w:val="000000"/>
          <w:sz w:val="24"/>
          <w:szCs w:val="24"/>
          <w:lang w:val="en-US" w:eastAsia="zh-CN"/>
        </w:rPr>
        <w:t>2</w:t>
      </w:r>
    </w:p>
    <w:p>
      <w:pPr>
        <w:pStyle w:val="7"/>
        <w:rPr>
          <w:rFonts w:hint="eastAsia" w:asciiTheme="minorEastAsia" w:hAnsiTheme="minorEastAsia" w:eastAsiaTheme="minorEastAsia" w:cstheme="minorEastAsia"/>
          <w:b/>
          <w:bCs/>
          <w:color w:val="000000"/>
          <w:sz w:val="24"/>
          <w:szCs w:val="24"/>
          <w:lang w:val="en-US" w:eastAsia="zh-CN"/>
        </w:rPr>
      </w:pPr>
    </w:p>
    <w:p>
      <w:pPr>
        <w:adjustRightInd w:val="0"/>
        <w:snapToGrid w:val="0"/>
        <w:spacing w:line="440" w:lineRule="exact"/>
        <w:jc w:val="center"/>
        <w:outlineLvl w:val="0"/>
        <w:rPr>
          <w:rFonts w:ascii="Times New Roman" w:hAnsi="Times New Roman" w:cs="Times New Roman"/>
          <w:b/>
          <w:sz w:val="36"/>
          <w:szCs w:val="36"/>
        </w:rPr>
      </w:pPr>
      <w:r>
        <w:rPr>
          <w:rFonts w:ascii="Times New Roman" w:hAnsi="Times New Roman" w:cs="Times New Roman"/>
          <w:b/>
          <w:sz w:val="36"/>
          <w:szCs w:val="36"/>
        </w:rPr>
        <w:t>评审办法及评分标准</w:t>
      </w:r>
    </w:p>
    <w:tbl>
      <w:tblPr>
        <w:tblStyle w:val="11"/>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
        <w:gridCol w:w="746"/>
        <w:gridCol w:w="2134"/>
        <w:gridCol w:w="56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b/>
                <w:color w:val="000000"/>
                <w:szCs w:val="21"/>
              </w:rPr>
            </w:pPr>
            <w:r>
              <w:rPr>
                <w:rFonts w:hint="eastAsia" w:ascii="仿宋_GB2312" w:hAnsi="新宋体" w:eastAsia="仿宋_GB2312"/>
                <w:b/>
                <w:color w:val="000000"/>
                <w:szCs w:val="21"/>
              </w:rPr>
              <w:t>序号</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条款内容</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b/>
                <w:color w:val="000000"/>
                <w:szCs w:val="21"/>
              </w:rPr>
            </w:pPr>
            <w:r>
              <w:rPr>
                <w:rFonts w:hint="eastAsia" w:ascii="仿宋_GB2312" w:hAnsi="新宋体" w:eastAsia="仿宋_GB2312"/>
                <w:b/>
                <w:color w:val="000000"/>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46" w:type="dxa"/>
            <w:gridSpan w:val="2"/>
            <w:tcBorders>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1</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分值构成</w:t>
            </w:r>
          </w:p>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(总分100分)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u w:val="single"/>
                <w:lang w:val="en-US" w:eastAsia="zh-CN"/>
              </w:rPr>
            </w:pPr>
            <w:r>
              <w:rPr>
                <w:rFonts w:hint="eastAsia" w:ascii="仿宋_GB2312" w:hAnsi="新宋体" w:eastAsia="仿宋_GB2312"/>
                <w:color w:val="000000"/>
                <w:szCs w:val="21"/>
              </w:rPr>
              <w:t>技术部分：</w:t>
            </w:r>
            <w:r>
              <w:rPr>
                <w:rFonts w:hint="eastAsia" w:ascii="仿宋_GB2312" w:hAnsi="新宋体" w:eastAsia="仿宋_GB2312"/>
                <w:color w:val="000000"/>
                <w:szCs w:val="21"/>
                <w:u w:val="single"/>
              </w:rPr>
              <w:t xml:space="preserve"> </w:t>
            </w:r>
            <w:r>
              <w:rPr>
                <w:rFonts w:hint="eastAsia" w:ascii="仿宋_GB2312" w:hAnsi="新宋体" w:eastAsia="仿宋_GB2312"/>
                <w:color w:val="000000"/>
                <w:szCs w:val="21"/>
                <w:u w:val="single"/>
                <w:lang w:val="en-US" w:eastAsia="zh-CN"/>
              </w:rPr>
              <w:t>60</w:t>
            </w:r>
            <w:r>
              <w:rPr>
                <w:rFonts w:hint="eastAsia" w:ascii="仿宋_GB2312" w:hAnsi="新宋体" w:eastAsia="仿宋_GB2312"/>
                <w:color w:val="000000"/>
                <w:szCs w:val="21"/>
                <w:u w:val="single"/>
              </w:rPr>
              <w:t xml:space="preserve"> </w:t>
            </w:r>
            <w:r>
              <w:rPr>
                <w:rFonts w:hint="eastAsia" w:ascii="仿宋_GB2312" w:hAnsi="新宋体" w:eastAsia="仿宋_GB2312"/>
                <w:color w:val="000000"/>
                <w:szCs w:val="21"/>
              </w:rPr>
              <w:t xml:space="preserve">分   </w:t>
            </w:r>
            <w:r>
              <w:rPr>
                <w:rFonts w:hint="eastAsia" w:ascii="仿宋_GB2312" w:hAnsi="新宋体" w:eastAsia="仿宋_GB2312"/>
                <w:color w:val="000000"/>
                <w:szCs w:val="21"/>
                <w:lang w:eastAsia="zh-CN"/>
              </w:rPr>
              <w:t>商务</w:t>
            </w:r>
            <w:r>
              <w:rPr>
                <w:rFonts w:hint="eastAsia" w:ascii="仿宋_GB2312" w:hAnsi="新宋体" w:eastAsia="仿宋_GB2312"/>
                <w:color w:val="000000"/>
                <w:szCs w:val="21"/>
              </w:rPr>
              <w:t>综合部分</w:t>
            </w:r>
            <w:r>
              <w:rPr>
                <w:rFonts w:hint="eastAsia" w:ascii="仿宋_GB2312" w:hAnsi="新宋体" w:eastAsia="仿宋_GB2312"/>
                <w:color w:val="000000"/>
                <w:szCs w:val="21"/>
                <w:u w:val="single"/>
                <w:lang w:val="en-US" w:eastAsia="zh-CN"/>
              </w:rPr>
              <w:t>10分</w:t>
            </w:r>
          </w:p>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rPr>
              <w:t>商务</w:t>
            </w:r>
            <w:r>
              <w:rPr>
                <w:rFonts w:hint="eastAsia" w:ascii="仿宋_GB2312" w:hAnsi="新宋体" w:eastAsia="仿宋_GB2312"/>
                <w:color w:val="000000"/>
                <w:szCs w:val="21"/>
                <w:lang w:eastAsia="zh-CN"/>
              </w:rPr>
              <w:t>报价</w:t>
            </w:r>
            <w:r>
              <w:rPr>
                <w:rFonts w:hint="eastAsia" w:ascii="仿宋_GB2312" w:hAnsi="新宋体" w:eastAsia="仿宋_GB2312"/>
                <w:color w:val="000000"/>
                <w:szCs w:val="21"/>
              </w:rPr>
              <w:t>部分：</w:t>
            </w:r>
            <w:r>
              <w:rPr>
                <w:rFonts w:hint="eastAsia" w:ascii="仿宋_GB2312" w:hAnsi="新宋体" w:eastAsia="仿宋_GB2312"/>
                <w:color w:val="000000"/>
                <w:szCs w:val="21"/>
                <w:u w:val="single"/>
              </w:rPr>
              <w:t xml:space="preserve"> 30 </w:t>
            </w:r>
            <w:r>
              <w:rPr>
                <w:rFonts w:hint="eastAsia" w:ascii="仿宋_GB2312" w:hAnsi="新宋体" w:eastAsia="仿宋_GB2312"/>
                <w:color w:val="000000"/>
                <w:szCs w:val="21"/>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1646" w:type="dxa"/>
            <w:gridSpan w:val="2"/>
            <w:tcBorders>
              <w:top w:val="single" w:color="000000" w:sz="4" w:space="0"/>
              <w:left w:val="nil"/>
              <w:bottom w:val="single" w:color="000000" w:sz="4" w:space="0"/>
              <w:right w:val="nil"/>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000000" w:sz="4" w:space="0"/>
              <w:left w:val="nil"/>
              <w:bottom w:val="single" w:color="000000" w:sz="4" w:space="0"/>
              <w:right w:val="nil"/>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5657" w:type="dxa"/>
            <w:tcBorders>
              <w:top w:val="single" w:color="000000" w:sz="4" w:space="0"/>
              <w:left w:val="nil"/>
              <w:bottom w:val="single" w:color="000000" w:sz="4" w:space="0"/>
              <w:right w:val="nil"/>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46"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b/>
                <w:color w:val="000000"/>
                <w:szCs w:val="21"/>
              </w:rPr>
              <w:t>条款号</w:t>
            </w:r>
          </w:p>
        </w:tc>
        <w:tc>
          <w:tcPr>
            <w:tcW w:w="2134"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评分因素</w:t>
            </w:r>
          </w:p>
        </w:tc>
        <w:tc>
          <w:tcPr>
            <w:tcW w:w="5657" w:type="dxa"/>
            <w:tcBorders>
              <w:top w:val="single" w:color="000000" w:sz="4" w:space="0"/>
              <w:left w:val="single" w:color="000000" w:sz="4" w:space="0"/>
              <w:bottom w:val="single" w:color="000000" w:sz="4" w:space="0"/>
              <w:right w:val="single" w:color="000000"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b/>
                <w:color w:val="000000"/>
                <w:szCs w:val="21"/>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000000"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1</w:t>
            </w:r>
          </w:p>
        </w:tc>
        <w:tc>
          <w:tcPr>
            <w:tcW w:w="746" w:type="dxa"/>
            <w:vMerge w:val="restart"/>
            <w:tcBorders>
              <w:top w:val="single" w:color="000000"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lang w:val="en-US" w:eastAsia="zh-CN"/>
              </w:rPr>
            </w:pPr>
            <w:r>
              <w:rPr>
                <w:rFonts w:hint="eastAsia" w:ascii="仿宋_GB2312" w:hAnsi="新宋体" w:eastAsia="仿宋_GB2312"/>
                <w:color w:val="000000"/>
                <w:szCs w:val="21"/>
              </w:rPr>
              <w:t>技术部</w:t>
            </w:r>
            <w:r>
              <w:rPr>
                <w:rFonts w:hint="eastAsia" w:ascii="仿宋_GB2312" w:hAnsi="新宋体" w:eastAsia="仿宋_GB2312"/>
                <w:color w:val="000000"/>
                <w:szCs w:val="21"/>
                <w:lang w:eastAsia="zh-CN"/>
              </w:rPr>
              <w:t>份</w:t>
            </w:r>
            <w:r>
              <w:rPr>
                <w:rFonts w:hint="default" w:ascii="仿宋_GB2312" w:hAnsi="新宋体" w:eastAsia="仿宋_GB2312"/>
                <w:color w:val="000000"/>
                <w:szCs w:val="21"/>
                <w:lang w:val="en-US" w:eastAsia="zh-CN"/>
              </w:rPr>
              <w:t>(</w:t>
            </w:r>
            <w:r>
              <w:rPr>
                <w:rFonts w:hint="eastAsia" w:ascii="仿宋_GB2312" w:hAnsi="新宋体" w:eastAsia="仿宋_GB2312"/>
                <w:color w:val="000000"/>
                <w:szCs w:val="21"/>
                <w:lang w:val="en-US" w:eastAsia="zh-CN"/>
              </w:rPr>
              <w:t>60分）</w:t>
            </w: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cr/>
            </w:r>
            <w:r>
              <w:rPr>
                <w:rFonts w:hint="eastAsia" w:ascii="仿宋_GB2312" w:hAnsi="新宋体" w:eastAsia="仿宋_GB2312"/>
                <w:color w:val="000000"/>
                <w:szCs w:val="21"/>
                <w:lang w:eastAsia="zh-CN"/>
              </w:rPr>
              <w:t>工程概况</w:t>
            </w:r>
            <w:r>
              <w:rPr>
                <w:rFonts w:hint="eastAsia" w:ascii="仿宋_GB2312" w:hAnsi="新宋体" w:eastAsia="仿宋_GB2312"/>
                <w:color w:val="000000"/>
                <w:szCs w:val="21"/>
              </w:rPr>
              <w:t>（</w:t>
            </w:r>
            <w:r>
              <w:rPr>
                <w:rFonts w:hint="eastAsia" w:ascii="仿宋_GB2312" w:hAnsi="新宋体" w:eastAsia="仿宋_GB2312"/>
                <w:color w:val="000000"/>
                <w:szCs w:val="21"/>
                <w:lang w:val="en-US" w:eastAsia="zh-CN"/>
              </w:rPr>
              <w:t>3</w:t>
            </w:r>
            <w:r>
              <w:rPr>
                <w:rFonts w:hint="eastAsia" w:ascii="仿宋_GB2312" w:hAnsi="新宋体" w:eastAsia="仿宋_GB2312"/>
                <w:color w:val="000000"/>
                <w:szCs w:val="21"/>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描述准确、清晰3分；描述基</w:t>
            </w:r>
            <w:bookmarkStart w:id="2" w:name="_GoBack"/>
            <w:bookmarkEnd w:id="2"/>
            <w:r>
              <w:rPr>
                <w:rFonts w:hint="eastAsia" w:ascii="仿宋_GB2312" w:hAnsi="新宋体" w:eastAsia="仿宋_GB2312"/>
                <w:color w:val="000000"/>
                <w:szCs w:val="21"/>
                <w:lang w:val="en-US" w:eastAsia="zh-CN"/>
              </w:rPr>
              <w:t>本准确1分；否则不得分。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施工</w:t>
            </w:r>
            <w:r>
              <w:rPr>
                <w:rFonts w:hint="eastAsia" w:ascii="仿宋_GB2312" w:hAnsi="新宋体" w:eastAsia="仿宋_GB2312"/>
                <w:color w:val="000000"/>
                <w:szCs w:val="21"/>
                <w:lang w:val="en-US" w:eastAsia="zh-CN"/>
              </w:rPr>
              <w:t>部署</w:t>
            </w:r>
            <w:r>
              <w:rPr>
                <w:rFonts w:hint="eastAsia" w:ascii="仿宋_GB2312" w:hAnsi="新宋体" w:eastAsia="仿宋_GB2312"/>
                <w:color w:val="000000"/>
                <w:szCs w:val="21"/>
              </w:rPr>
              <w:t>（</w:t>
            </w:r>
            <w:r>
              <w:rPr>
                <w:rFonts w:hint="eastAsia" w:ascii="仿宋_GB2312" w:hAnsi="新宋体" w:eastAsia="仿宋_GB2312"/>
                <w:color w:val="000000"/>
                <w:szCs w:val="21"/>
                <w:lang w:val="en-US" w:eastAsia="zh-CN"/>
              </w:rPr>
              <w:t>4</w:t>
            </w:r>
            <w:r>
              <w:rPr>
                <w:rFonts w:hint="eastAsia" w:ascii="仿宋_GB2312" w:hAnsi="新宋体" w:eastAsia="仿宋_GB2312"/>
                <w:color w:val="000000"/>
                <w:szCs w:val="21"/>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lang w:val="en-US" w:eastAsia="zh-CN"/>
              </w:rPr>
              <w:t>科学、合理、针对性强4分；合理、基本可行2分；否则不得分</w:t>
            </w:r>
            <w:r>
              <w:rPr>
                <w:rFonts w:hint="eastAsia" w:ascii="仿宋_GB2312" w:hAnsi="新宋体" w:eastAsia="仿宋_GB2312"/>
                <w:color w:val="00000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jc w:val="center"/>
        </w:trPr>
        <w:tc>
          <w:tcPr>
            <w:tcW w:w="900"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000000"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施工重点难点分析（</w:t>
            </w:r>
            <w:r>
              <w:rPr>
                <w:rFonts w:hint="eastAsia" w:ascii="仿宋_GB2312" w:hAnsi="新宋体" w:eastAsia="仿宋_GB2312"/>
                <w:color w:val="000000"/>
                <w:szCs w:val="21"/>
                <w:lang w:val="en-US" w:eastAsia="zh-CN"/>
              </w:rPr>
              <w:t>10</w:t>
            </w:r>
            <w:r>
              <w:rPr>
                <w:rFonts w:hint="eastAsia" w:ascii="仿宋_GB2312" w:hAnsi="新宋体" w:eastAsia="仿宋_GB2312"/>
                <w:color w:val="000000"/>
                <w:szCs w:val="21"/>
              </w:rPr>
              <w:t>分）</w:t>
            </w:r>
          </w:p>
        </w:tc>
        <w:tc>
          <w:tcPr>
            <w:tcW w:w="5657" w:type="dxa"/>
            <w:tcBorders>
              <w:top w:val="single" w:color="000000"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施工方案与技术措施（</w:t>
            </w:r>
            <w:r>
              <w:rPr>
                <w:rFonts w:hint="eastAsia" w:ascii="仿宋_GB2312" w:hAnsi="新宋体" w:eastAsia="仿宋_GB2312"/>
                <w:color w:val="000000"/>
                <w:szCs w:val="21"/>
                <w:lang w:val="en-US" w:eastAsia="zh-CN"/>
              </w:rPr>
              <w:t>10</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default" w:ascii="仿宋_GB2312" w:hAnsi="新宋体" w:eastAsia="仿宋_GB2312"/>
                <w:color w:val="000000"/>
                <w:szCs w:val="21"/>
                <w:lang w:val="en-US" w:eastAsia="zh-CN"/>
              </w:rPr>
            </w:pPr>
            <w:r>
              <w:rPr>
                <w:rFonts w:hint="eastAsia" w:ascii="仿宋_GB2312" w:hAnsi="新宋体" w:eastAsia="仿宋_GB2312"/>
                <w:color w:val="000000"/>
                <w:szCs w:val="21"/>
              </w:rPr>
              <w:t>施工方案与技术措施切实可行，分部分项工程的主要施工方法先进科学</w:t>
            </w:r>
            <w:r>
              <w:rPr>
                <w:rFonts w:hint="eastAsia" w:ascii="仿宋_GB2312" w:hAnsi="新宋体" w:eastAsia="仿宋_GB2312"/>
                <w:color w:val="000000"/>
                <w:szCs w:val="21"/>
                <w:lang w:eastAsia="zh-CN"/>
              </w:rPr>
              <w:t>，</w:t>
            </w:r>
            <w:r>
              <w:rPr>
                <w:rFonts w:hint="eastAsia" w:ascii="仿宋_GB2312" w:hAnsi="新宋体" w:eastAsia="仿宋_GB2312"/>
                <w:color w:val="000000"/>
                <w:szCs w:val="21"/>
              </w:rPr>
              <w:t>合理</w:t>
            </w:r>
            <w:r>
              <w:rPr>
                <w:rFonts w:hint="eastAsia" w:ascii="仿宋_GB2312" w:hAnsi="新宋体" w:eastAsia="仿宋_GB2312"/>
                <w:color w:val="000000"/>
                <w:szCs w:val="21"/>
                <w:lang w:eastAsia="zh-CN"/>
              </w:rPr>
              <w:t>，完全</w:t>
            </w:r>
            <w:r>
              <w:rPr>
                <w:rFonts w:hint="eastAsia" w:ascii="仿宋_GB2312" w:hAnsi="新宋体" w:eastAsia="仿宋_GB2312"/>
                <w:color w:val="000000"/>
                <w:szCs w:val="21"/>
              </w:rPr>
              <w:t>满足施工质量和要求</w:t>
            </w:r>
            <w:r>
              <w:rPr>
                <w:rFonts w:hint="eastAsia" w:ascii="仿宋_GB2312" w:hAnsi="新宋体" w:eastAsia="仿宋_GB2312"/>
                <w:color w:val="000000"/>
                <w:szCs w:val="21"/>
                <w:lang w:eastAsia="zh-CN"/>
              </w:rPr>
              <w:t>且内容很详细的</w:t>
            </w:r>
            <w:r>
              <w:rPr>
                <w:rFonts w:hint="eastAsia" w:ascii="仿宋_GB2312" w:hAnsi="新宋体" w:eastAsia="仿宋_GB2312"/>
                <w:color w:val="000000"/>
                <w:szCs w:val="21"/>
                <w:lang w:val="en-US" w:eastAsia="zh-CN"/>
              </w:rPr>
              <w:t>得8-10分</w:t>
            </w:r>
            <w:r>
              <w:rPr>
                <w:rFonts w:hint="eastAsia" w:ascii="仿宋_GB2312" w:hAnsi="新宋体" w:eastAsia="仿宋_GB2312"/>
                <w:color w:val="000000"/>
                <w:szCs w:val="21"/>
              </w:rPr>
              <w:t>，施工方案满足本项目要求，施工技术措施符合本项目场地条件和工程特点要求的得5-7分；施工方案基本可行，施工措施制定不详细的得0-4分。，</w:t>
            </w:r>
            <w:r>
              <w:rPr>
                <w:rFonts w:hint="eastAsia" w:ascii="仿宋_GB2312" w:hAnsi="新宋体" w:eastAsia="仿宋_GB2312"/>
                <w:color w:val="000000"/>
                <w:szCs w:val="21"/>
                <w:lang w:eastAsia="zh-CN"/>
              </w:rPr>
              <w:t>未提供者不得分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确保工程质量的措施（</w:t>
            </w:r>
            <w:r>
              <w:rPr>
                <w:rFonts w:hint="eastAsia" w:ascii="仿宋_GB2312" w:hAnsi="新宋体" w:eastAsia="仿宋_GB2312"/>
                <w:color w:val="000000"/>
                <w:szCs w:val="21"/>
                <w:lang w:val="en-US" w:eastAsia="zh-CN"/>
              </w:rPr>
              <w:t>8</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rPr>
              <w:t>质量管理体系与各道手续有质量保证措施</w:t>
            </w:r>
            <w:r>
              <w:rPr>
                <w:rFonts w:hint="eastAsia" w:ascii="仿宋_GB2312" w:hAnsi="新宋体" w:eastAsia="仿宋_GB2312"/>
                <w:color w:val="000000"/>
                <w:szCs w:val="21"/>
                <w:lang w:eastAsia="zh-CN"/>
              </w:rPr>
              <w:t>的得</w:t>
            </w:r>
            <w:r>
              <w:rPr>
                <w:rFonts w:hint="eastAsia" w:ascii="仿宋_GB2312" w:hAnsi="新宋体" w:eastAsia="仿宋_GB2312"/>
                <w:color w:val="000000"/>
                <w:szCs w:val="21"/>
                <w:lang w:val="en-US" w:eastAsia="zh-CN"/>
              </w:rPr>
              <w:t>8分，</w:t>
            </w:r>
            <w:r>
              <w:rPr>
                <w:rFonts w:hint="eastAsia" w:ascii="仿宋_GB2312" w:hAnsi="新宋体" w:eastAsia="仿宋_GB2312"/>
                <w:color w:val="000000"/>
                <w:szCs w:val="21"/>
              </w:rPr>
              <w:t>内容不全</w:t>
            </w:r>
            <w:r>
              <w:rPr>
                <w:rFonts w:hint="eastAsia" w:ascii="仿宋_GB2312" w:hAnsi="新宋体" w:eastAsia="仿宋_GB2312"/>
                <w:color w:val="000000"/>
                <w:szCs w:val="21"/>
                <w:lang w:eastAsia="zh-CN"/>
              </w:rPr>
              <w:t>的得</w:t>
            </w:r>
            <w:r>
              <w:rPr>
                <w:rFonts w:hint="eastAsia" w:ascii="仿宋_GB2312" w:hAnsi="新宋体" w:eastAsia="仿宋_GB2312"/>
                <w:color w:val="000000"/>
                <w:szCs w:val="21"/>
                <w:lang w:val="en-US" w:eastAsia="zh-CN"/>
              </w:rPr>
              <w:t>4分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安全、文明管理体系与措施（5分）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rPr>
              <w:t>施工安全、文明措施计划</w:t>
            </w:r>
            <w:r>
              <w:rPr>
                <w:rFonts w:hint="eastAsia" w:ascii="仿宋_GB2312" w:hAnsi="新宋体" w:eastAsia="仿宋_GB2312"/>
                <w:color w:val="000000"/>
                <w:szCs w:val="21"/>
                <w:lang w:eastAsia="zh-CN"/>
              </w:rPr>
              <w:t>内容完整，合理，针对性强得</w:t>
            </w:r>
            <w:r>
              <w:rPr>
                <w:rFonts w:hint="eastAsia" w:ascii="仿宋_GB2312" w:hAnsi="新宋体" w:eastAsia="仿宋_GB2312"/>
                <w:color w:val="000000"/>
                <w:szCs w:val="21"/>
                <w:lang w:val="en-US" w:eastAsia="zh-CN"/>
              </w:rPr>
              <w:t>5分</w:t>
            </w:r>
            <w:r>
              <w:rPr>
                <w:rFonts w:hint="eastAsia" w:ascii="仿宋_GB2312" w:hAnsi="新宋体" w:eastAsia="仿宋_GB2312"/>
                <w:color w:val="000000"/>
                <w:szCs w:val="21"/>
              </w:rPr>
              <w:t>；，</w:t>
            </w:r>
            <w:r>
              <w:rPr>
                <w:rFonts w:hint="eastAsia" w:ascii="仿宋_GB2312" w:hAnsi="新宋体" w:eastAsia="仿宋_GB2312"/>
                <w:color w:val="000000"/>
                <w:szCs w:val="21"/>
                <w:lang w:eastAsia="zh-CN"/>
              </w:rPr>
              <w:t>内容不完备的，欠合理，可行性差的得</w:t>
            </w:r>
            <w:r>
              <w:rPr>
                <w:rFonts w:hint="eastAsia" w:ascii="仿宋_GB2312" w:hAnsi="新宋体" w:eastAsia="仿宋_GB2312"/>
                <w:color w:val="000000"/>
                <w:szCs w:val="21"/>
                <w:lang w:val="en-US" w:eastAsia="zh-CN"/>
              </w:rPr>
              <w:t>2分；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施工环保措施计划、减少噪音、降低环境污染（</w:t>
            </w:r>
            <w:r>
              <w:rPr>
                <w:rFonts w:hint="eastAsia" w:ascii="仿宋_GB2312" w:hAnsi="新宋体" w:eastAsia="仿宋_GB2312"/>
                <w:color w:val="000000"/>
                <w:szCs w:val="21"/>
                <w:lang w:val="en-US" w:eastAsia="zh-CN"/>
              </w:rPr>
              <w:t>5</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lang w:eastAsia="zh-CN"/>
              </w:rPr>
              <w:t>有</w:t>
            </w:r>
            <w:r>
              <w:rPr>
                <w:rFonts w:hint="eastAsia" w:ascii="仿宋_GB2312" w:hAnsi="新宋体" w:eastAsia="仿宋_GB2312"/>
                <w:color w:val="000000"/>
                <w:szCs w:val="21"/>
              </w:rPr>
              <w:t>施工环保措施计划、减少噪音、降低环境污染</w:t>
            </w:r>
            <w:r>
              <w:rPr>
                <w:rFonts w:hint="eastAsia" w:ascii="仿宋_GB2312" w:hAnsi="新宋体" w:eastAsia="仿宋_GB2312"/>
                <w:color w:val="000000"/>
                <w:szCs w:val="21"/>
                <w:lang w:eastAsia="zh-CN"/>
              </w:rPr>
              <w:t>措施计划科学先进并合理可行的得</w:t>
            </w:r>
            <w:r>
              <w:rPr>
                <w:rFonts w:hint="eastAsia" w:ascii="仿宋_GB2312" w:hAnsi="新宋体" w:eastAsia="仿宋_GB2312"/>
                <w:color w:val="000000"/>
                <w:szCs w:val="21"/>
                <w:lang w:val="en-US" w:eastAsia="zh-CN"/>
              </w:rPr>
              <w:t>5分</w:t>
            </w:r>
            <w:r>
              <w:rPr>
                <w:rFonts w:hint="eastAsia" w:ascii="仿宋_GB2312" w:hAnsi="新宋体" w:eastAsia="仿宋_GB2312"/>
                <w:color w:val="000000"/>
                <w:szCs w:val="21"/>
              </w:rPr>
              <w:t>；施工环保措施计划、减少噪音、降低环境污染等措施合理的得3分</w:t>
            </w:r>
            <w:r>
              <w:rPr>
                <w:rFonts w:hint="eastAsia" w:ascii="仿宋_GB2312" w:hAnsi="新宋体" w:eastAsia="仿宋_GB2312"/>
                <w:color w:val="000000"/>
                <w:szCs w:val="21"/>
                <w:lang w:eastAsia="zh-CN"/>
              </w:rPr>
              <w:t>，基本合理的得</w:t>
            </w:r>
            <w:r>
              <w:rPr>
                <w:rFonts w:hint="eastAsia" w:ascii="仿宋_GB2312" w:hAnsi="新宋体" w:eastAsia="仿宋_GB2312"/>
                <w:color w:val="000000"/>
                <w:szCs w:val="21"/>
                <w:lang w:val="en-US" w:eastAsia="zh-CN"/>
              </w:rPr>
              <w:t>1分，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rPr>
              <w:t>工程进度计划与措施（</w:t>
            </w:r>
            <w:r>
              <w:rPr>
                <w:rFonts w:hint="eastAsia" w:ascii="仿宋_GB2312" w:hAnsi="新宋体" w:eastAsia="仿宋_GB2312"/>
                <w:color w:val="000000"/>
                <w:szCs w:val="21"/>
                <w:lang w:val="en-US" w:eastAsia="zh-CN"/>
              </w:rPr>
              <w:t>6</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rPr>
              <w:t>施工总进度计划及保证措施</w:t>
            </w:r>
            <w:r>
              <w:rPr>
                <w:rFonts w:hint="eastAsia" w:ascii="仿宋_GB2312" w:hAnsi="新宋体" w:eastAsia="仿宋_GB2312"/>
                <w:color w:val="000000"/>
                <w:szCs w:val="21"/>
                <w:lang w:eastAsia="zh-CN"/>
              </w:rPr>
              <w:t>内容完备，合理，针对性强得</w:t>
            </w:r>
            <w:r>
              <w:rPr>
                <w:rFonts w:hint="eastAsia" w:ascii="仿宋_GB2312" w:hAnsi="新宋体" w:eastAsia="仿宋_GB2312"/>
                <w:color w:val="000000"/>
                <w:szCs w:val="21"/>
                <w:lang w:val="en-US" w:eastAsia="zh-CN"/>
              </w:rPr>
              <w:t>6分</w:t>
            </w:r>
            <w:r>
              <w:rPr>
                <w:rFonts w:hint="eastAsia" w:ascii="仿宋_GB2312" w:hAnsi="新宋体" w:eastAsia="仿宋_GB2312"/>
                <w:color w:val="000000"/>
                <w:szCs w:val="21"/>
              </w:rPr>
              <w:t>；</w:t>
            </w:r>
            <w:r>
              <w:rPr>
                <w:rFonts w:hint="eastAsia" w:ascii="仿宋_GB2312" w:hAnsi="新宋体" w:eastAsia="仿宋_GB2312"/>
                <w:color w:val="000000"/>
                <w:szCs w:val="21"/>
                <w:lang w:eastAsia="zh-CN"/>
              </w:rPr>
              <w:t>内容不完备的，欠合理，可行性差的得</w:t>
            </w:r>
            <w:r>
              <w:rPr>
                <w:rFonts w:hint="eastAsia" w:ascii="仿宋_GB2312" w:hAnsi="新宋体" w:eastAsia="仿宋_GB2312"/>
                <w:color w:val="000000"/>
                <w:szCs w:val="21"/>
                <w:lang w:val="en-US" w:eastAsia="zh-CN"/>
              </w:rPr>
              <w:t>3分</w:t>
            </w:r>
            <w:r>
              <w:rPr>
                <w:rFonts w:hint="eastAsia" w:ascii="仿宋_GB2312" w:hAnsi="新宋体" w:eastAsia="仿宋_GB2312"/>
                <w:color w:val="000000"/>
                <w:szCs w:val="21"/>
              </w:rPr>
              <w:t>，若此条缺项不得分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r>
              <w:rPr>
                <w:rFonts w:hint="eastAsia" w:ascii="仿宋_GB2312" w:hAnsi="新宋体" w:eastAsia="仿宋_GB2312"/>
                <w:color w:val="000000"/>
                <w:szCs w:val="21"/>
                <w:lang w:eastAsia="zh-CN"/>
              </w:rPr>
              <w:t>施工准备与</w:t>
            </w:r>
            <w:r>
              <w:rPr>
                <w:rFonts w:hint="eastAsia" w:ascii="仿宋_GB2312" w:hAnsi="新宋体" w:eastAsia="仿宋_GB2312"/>
                <w:color w:val="000000"/>
                <w:szCs w:val="21"/>
              </w:rPr>
              <w:t>资源配备计划（</w:t>
            </w:r>
            <w:r>
              <w:rPr>
                <w:rFonts w:hint="eastAsia" w:ascii="仿宋_GB2312" w:hAnsi="新宋体" w:eastAsia="仿宋_GB2312"/>
                <w:color w:val="000000"/>
                <w:szCs w:val="21"/>
                <w:lang w:val="en-US" w:eastAsia="zh-CN"/>
              </w:rPr>
              <w:t>6</w:t>
            </w:r>
            <w:r>
              <w:rPr>
                <w:rFonts w:hint="eastAsia" w:ascii="仿宋_GB2312" w:hAnsi="新宋体" w:eastAsia="仿宋_GB2312"/>
                <w:color w:val="000000"/>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rPr>
              <w:t>资金使用和主要材料用量的计算说明详细完善、思路清晰，劳动力与施工机械设备安排计划科学合理的得6分；资金使用和主要材料的计算说明基本详细，劳动力与施工机械设备安排计划合理的得3分；资金使用和主要材料用量的计算说明简单描述，劳动力与施工机械设备安排计划基本合理的得</w:t>
            </w:r>
            <w:r>
              <w:rPr>
                <w:rFonts w:hint="eastAsia" w:ascii="仿宋_GB2312" w:hAnsi="新宋体" w:eastAsia="仿宋_GB2312"/>
                <w:color w:val="000000"/>
                <w:szCs w:val="21"/>
                <w:lang w:val="en-US" w:eastAsia="zh-CN"/>
              </w:rPr>
              <w:t>1</w:t>
            </w:r>
            <w:r>
              <w:rPr>
                <w:rFonts w:hint="eastAsia" w:ascii="仿宋_GB2312" w:hAnsi="新宋体" w:eastAsia="仿宋_GB2312"/>
                <w:color w:val="000000"/>
                <w:szCs w:val="21"/>
              </w:rPr>
              <w:t>分。若此条缺项不得分。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color w:val="000000"/>
                <w:sz w:val="21"/>
                <w:szCs w:val="21"/>
                <w:lang w:eastAsia="zh-CN"/>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rPr>
              <w:t>质量服务承诺</w:t>
            </w:r>
            <w:r>
              <w:rPr>
                <w:rFonts w:hint="eastAsia" w:ascii="仿宋" w:hAnsi="仿宋" w:eastAsia="仿宋" w:cs="仿宋"/>
                <w:color w:val="auto"/>
                <w:sz w:val="21"/>
                <w:szCs w:val="21"/>
                <w:lang w:eastAsia="zh-CN"/>
              </w:rPr>
              <w:t>（</w:t>
            </w:r>
            <w:r>
              <w:rPr>
                <w:rFonts w:hint="eastAsia" w:ascii="仿宋" w:hAnsi="仿宋" w:eastAsia="仿宋" w:cs="仿宋"/>
                <w:color w:val="auto"/>
                <w:sz w:val="21"/>
                <w:szCs w:val="21"/>
                <w:lang w:val="en-US" w:eastAsia="zh-CN"/>
              </w:rPr>
              <w:t>3分）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供应商有保证工程质量的承诺且有具体的经济处罚措施的的得</w:t>
            </w:r>
            <w:r>
              <w:rPr>
                <w:rFonts w:hint="eastAsia" w:ascii="仿宋" w:hAnsi="仿宋" w:eastAsia="仿宋" w:cs="仿宋"/>
                <w:kern w:val="0"/>
                <w:sz w:val="21"/>
                <w:szCs w:val="21"/>
                <w:lang w:val="en-US" w:eastAsia="zh-CN"/>
              </w:rPr>
              <w:t>3</w:t>
            </w:r>
            <w:r>
              <w:rPr>
                <w:rFonts w:hint="eastAsia" w:ascii="仿宋" w:hAnsi="仿宋" w:eastAsia="仿宋" w:cs="仿宋"/>
                <w:kern w:val="0"/>
                <w:sz w:val="21"/>
                <w:szCs w:val="21"/>
                <w:lang w:eastAsia="zh-CN"/>
              </w:rPr>
              <w:t>分，没有得0分。（提供承诺书原件并加盖公章）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00" w:type="dxa"/>
            <w:vMerge w:val="restart"/>
            <w:tcBorders>
              <w:top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2</w:t>
            </w:r>
          </w:p>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restart"/>
            <w:tcBorders>
              <w:top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eastAsia="zh-CN"/>
              </w:rPr>
              <w:t>商务综合部份（</w:t>
            </w:r>
            <w:r>
              <w:rPr>
                <w:rFonts w:hint="eastAsia" w:ascii="仿宋" w:hAnsi="仿宋" w:eastAsia="仿宋" w:cs="仿宋"/>
                <w:color w:val="000000"/>
                <w:sz w:val="21"/>
                <w:szCs w:val="21"/>
                <w:lang w:val="en-US" w:eastAsia="zh-CN"/>
              </w:rPr>
              <w:t>10分）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color w:val="auto"/>
                <w:sz w:val="21"/>
                <w:szCs w:val="21"/>
              </w:rPr>
            </w:pPr>
            <w:r>
              <w:rPr>
                <w:rFonts w:hint="eastAsia" w:ascii="仿宋" w:hAnsi="仿宋" w:eastAsia="仿宋" w:cs="仿宋"/>
                <w:color w:val="auto"/>
                <w:sz w:val="21"/>
                <w:szCs w:val="21"/>
              </w:rPr>
              <w:t>企业业绩（</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napToGrid w:val="0"/>
              <w:spacing w:before="0" w:beforeAutospacing="0" w:after="0" w:afterAutospacing="0"/>
              <w:ind w:left="0" w:right="0"/>
              <w:jc w:val="left"/>
              <w:rPr>
                <w:rFonts w:hint="eastAsia" w:ascii="仿宋" w:hAnsi="仿宋" w:eastAsia="仿宋" w:cs="仿宋"/>
                <w:b/>
                <w:kern w:val="0"/>
                <w:sz w:val="21"/>
                <w:szCs w:val="21"/>
                <w:lang w:val="en-US" w:eastAsia="zh-CN" w:bidi="ar-SA"/>
              </w:rPr>
            </w:pPr>
            <w:r>
              <w:rPr>
                <w:rFonts w:hint="eastAsia" w:ascii="仿宋" w:hAnsi="仿宋" w:eastAsia="仿宋" w:cs="仿宋"/>
                <w:kern w:val="0"/>
                <w:sz w:val="21"/>
                <w:szCs w:val="21"/>
                <w:lang w:eastAsia="zh-CN"/>
              </w:rPr>
              <w:t>供应商</w:t>
            </w:r>
            <w:r>
              <w:rPr>
                <w:rFonts w:hint="eastAsia" w:ascii="仿宋" w:hAnsi="仿宋" w:eastAsia="仿宋" w:cs="仿宋"/>
                <w:kern w:val="0"/>
                <w:sz w:val="21"/>
                <w:szCs w:val="21"/>
              </w:rPr>
              <w:t>近</w:t>
            </w:r>
            <w:r>
              <w:rPr>
                <w:rFonts w:hint="eastAsia" w:ascii="仿宋" w:hAnsi="仿宋" w:eastAsia="仿宋" w:cs="仿宋"/>
                <w:kern w:val="0"/>
                <w:sz w:val="21"/>
                <w:szCs w:val="21"/>
                <w:lang w:val="en-US" w:eastAsia="zh-CN"/>
              </w:rPr>
              <w:t>3</w:t>
            </w:r>
            <w:r>
              <w:rPr>
                <w:rFonts w:hint="eastAsia" w:ascii="仿宋" w:hAnsi="仿宋" w:eastAsia="仿宋" w:cs="仿宋"/>
                <w:kern w:val="0"/>
                <w:sz w:val="21"/>
                <w:szCs w:val="21"/>
              </w:rPr>
              <w:t>年（以合同签订时间为准）承接过</w:t>
            </w:r>
            <w:r>
              <w:rPr>
                <w:rFonts w:hint="eastAsia" w:ascii="仿宋" w:hAnsi="仿宋" w:eastAsia="仿宋" w:cs="仿宋"/>
                <w:kern w:val="0"/>
                <w:sz w:val="21"/>
                <w:szCs w:val="21"/>
                <w:lang w:val="en-US" w:eastAsia="zh-CN"/>
              </w:rPr>
              <w:t>类似</w:t>
            </w:r>
            <w:r>
              <w:rPr>
                <w:rFonts w:hint="eastAsia" w:ascii="仿宋" w:hAnsi="仿宋" w:eastAsia="仿宋" w:cs="仿宋"/>
                <w:kern w:val="0"/>
                <w:sz w:val="21"/>
                <w:szCs w:val="21"/>
              </w:rPr>
              <w:t>业绩，每项得</w:t>
            </w: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rPr>
              <w:t>分，最高得</w:t>
            </w: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rPr>
              <w:t>分；（须提供项目的中标通知书</w:t>
            </w:r>
            <w:r>
              <w:rPr>
                <w:rFonts w:hint="eastAsia" w:ascii="仿宋" w:hAnsi="仿宋" w:eastAsia="仿宋" w:cs="仿宋"/>
                <w:kern w:val="0"/>
                <w:sz w:val="21"/>
                <w:szCs w:val="21"/>
                <w:lang w:eastAsia="zh-CN"/>
              </w:rPr>
              <w:t>和</w:t>
            </w:r>
            <w:r>
              <w:rPr>
                <w:rFonts w:hint="eastAsia" w:ascii="仿宋" w:hAnsi="仿宋" w:eastAsia="仿宋" w:cs="仿宋"/>
                <w:kern w:val="0"/>
                <w:sz w:val="21"/>
                <w:szCs w:val="21"/>
              </w:rPr>
              <w:t>施工合同</w:t>
            </w:r>
            <w:r>
              <w:rPr>
                <w:rFonts w:hint="eastAsia" w:ascii="仿宋" w:hAnsi="仿宋" w:eastAsia="仿宋" w:cs="仿宋"/>
                <w:kern w:val="0"/>
                <w:sz w:val="21"/>
                <w:szCs w:val="21"/>
                <w:lang w:eastAsia="zh-CN"/>
              </w:rPr>
              <w:t>的</w:t>
            </w:r>
            <w:r>
              <w:rPr>
                <w:rFonts w:hint="eastAsia" w:ascii="仿宋" w:hAnsi="仿宋" w:eastAsia="仿宋" w:cs="仿宋"/>
                <w:kern w:val="0"/>
                <w:sz w:val="21"/>
                <w:szCs w:val="21"/>
              </w:rPr>
              <w:t>真彩扫描打印件</w:t>
            </w:r>
            <w:r>
              <w:rPr>
                <w:rFonts w:hint="eastAsia" w:ascii="仿宋" w:hAnsi="仿宋" w:eastAsia="仿宋" w:cs="仿宋"/>
                <w:kern w:val="0"/>
                <w:sz w:val="21"/>
                <w:szCs w:val="21"/>
                <w:lang w:eastAsia="zh-CN"/>
              </w:rPr>
              <w:t>并加盖公章</w:t>
            </w:r>
            <w:r>
              <w:rPr>
                <w:rFonts w:hint="eastAsia" w:ascii="仿宋" w:hAnsi="仿宋" w:eastAsia="仿宋" w:cs="仿宋"/>
                <w:kern w:val="0"/>
                <w:sz w:val="21"/>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 w:hRule="atLeas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rPr>
            </w:pPr>
          </w:p>
        </w:tc>
        <w:tc>
          <w:tcPr>
            <w:tcW w:w="746"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z w:val="21"/>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财务状况</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ind w:left="0" w:right="0"/>
              <w:rPr>
                <w:rFonts w:hint="eastAsia" w:ascii="仿宋" w:hAnsi="仿宋" w:eastAsia="仿宋" w:cs="仿宋"/>
                <w:lang w:val="en-US" w:eastAsia="zh-CN"/>
              </w:rPr>
            </w:pPr>
            <w:r>
              <w:rPr>
                <w:rFonts w:hint="eastAsia"/>
                <w:lang w:val="en-US" w:eastAsia="zh-CN"/>
              </w:rPr>
              <w:t>企</w:t>
            </w:r>
            <w:r>
              <w:rPr>
                <w:rFonts w:hint="eastAsia" w:ascii="仿宋" w:hAnsi="仿宋" w:eastAsia="仿宋" w:cs="仿宋"/>
                <w:lang w:val="en-US" w:eastAsia="zh-CN"/>
              </w:rPr>
              <w:t>业具有金融机构出具的资信等级AAA级的得2分，具有金融机构出具的资信等级AA级的得1分，其他情况得0分</w:t>
            </w:r>
          </w:p>
          <w:p>
            <w:pPr>
              <w:keepNext w:val="0"/>
              <w:keepLines w:val="0"/>
              <w:suppressLineNumbers w:val="0"/>
              <w:spacing w:before="0" w:beforeAutospacing="0" w:after="0" w:afterAutospacing="0"/>
              <w:ind w:left="0" w:right="0"/>
              <w:rPr>
                <w:rFonts w:hint="eastAsia" w:eastAsiaTheme="minorEastAsia"/>
                <w:lang w:val="en-US" w:eastAsia="zh-CN"/>
              </w:rPr>
            </w:pPr>
            <w:r>
              <w:rPr>
                <w:rFonts w:hint="eastAsia" w:ascii="仿宋" w:hAnsi="仿宋" w:eastAsia="仿宋" w:cs="仿宋"/>
                <w:lang w:eastAsia="zh-CN"/>
              </w:rPr>
              <w:t>（</w:t>
            </w:r>
            <w:r>
              <w:rPr>
                <w:rFonts w:hint="eastAsia" w:ascii="仿宋" w:hAnsi="仿宋" w:eastAsia="仿宋" w:cs="仿宋"/>
              </w:rPr>
              <w:t>需提供有效证明材料，且证明材料须提供真彩扫描打印件</w:t>
            </w:r>
            <w:r>
              <w:rPr>
                <w:rFonts w:hint="eastAsia" w:ascii="仿宋" w:hAnsi="仿宋" w:eastAsia="仿宋" w:cs="仿宋"/>
                <w:kern w:val="0"/>
                <w:sz w:val="21"/>
                <w:szCs w:val="21"/>
                <w:lang w:eastAsia="zh-CN"/>
              </w:rPr>
              <w:t>并加盖公章</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szCs w:val="21"/>
              </w:rPr>
            </w:pPr>
          </w:p>
        </w:tc>
        <w:tc>
          <w:tcPr>
            <w:tcW w:w="746"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z w:val="21"/>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color w:val="auto"/>
                <w:sz w:val="21"/>
                <w:szCs w:val="21"/>
                <w:lang w:eastAsia="zh-CN"/>
              </w:rPr>
            </w:pPr>
            <w:r>
              <w:rPr>
                <w:rFonts w:hint="eastAsia" w:ascii="仿宋" w:hAnsi="仿宋" w:eastAsia="仿宋" w:cs="仿宋"/>
                <w:color w:val="auto"/>
                <w:sz w:val="21"/>
                <w:szCs w:val="21"/>
                <w:lang w:eastAsia="zh-CN"/>
              </w:rPr>
              <w:t>管理体系认证（</w:t>
            </w:r>
            <w:r>
              <w:rPr>
                <w:rFonts w:hint="default" w:ascii="仿宋" w:hAnsi="仿宋" w:eastAsia="仿宋" w:cs="仿宋"/>
                <w:color w:val="auto"/>
                <w:sz w:val="21"/>
                <w:szCs w:val="21"/>
                <w:lang w:val="en-US" w:eastAsia="zh-CN"/>
              </w:rPr>
              <w:t>3</w:t>
            </w:r>
            <w:r>
              <w:rPr>
                <w:rFonts w:hint="eastAsia" w:ascii="仿宋" w:hAnsi="仿宋" w:eastAsia="仿宋" w:cs="仿宋"/>
                <w:color w:val="auto"/>
                <w:sz w:val="21"/>
                <w:szCs w:val="21"/>
                <w:lang w:eastAsia="zh-CN"/>
              </w:rPr>
              <w:t>分）</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eastAsia="zh-CN"/>
              </w:rPr>
              <w:t>同时通过</w:t>
            </w:r>
            <w:r>
              <w:rPr>
                <w:rFonts w:hint="eastAsia" w:ascii="仿宋" w:hAnsi="仿宋" w:eastAsia="仿宋" w:cs="仿宋"/>
                <w:color w:val="auto"/>
                <w:sz w:val="21"/>
                <w:szCs w:val="21"/>
                <w:lang w:val="en-US" w:eastAsia="zh-CN"/>
              </w:rPr>
              <w:t>ISO9001质量管理体系认证、ISO14001环境管理体系认证、OHSAS118001职业健康安全管理体系认证且开标之日在有效期内的得</w:t>
            </w:r>
            <w:r>
              <w:rPr>
                <w:rFonts w:hint="default" w:ascii="仿宋" w:hAnsi="仿宋" w:eastAsia="仿宋" w:cs="仿宋"/>
                <w:color w:val="auto"/>
                <w:sz w:val="21"/>
                <w:szCs w:val="21"/>
                <w:lang w:val="en-US" w:eastAsia="zh-CN"/>
              </w:rPr>
              <w:t>3</w:t>
            </w:r>
            <w:r>
              <w:rPr>
                <w:rFonts w:hint="eastAsia" w:ascii="仿宋" w:hAnsi="仿宋" w:eastAsia="仿宋" w:cs="仿宋"/>
                <w:color w:val="auto"/>
                <w:sz w:val="21"/>
                <w:szCs w:val="21"/>
                <w:lang w:val="en-US" w:eastAsia="zh-CN"/>
              </w:rPr>
              <w:t>分，每缺一项扣1分。</w:t>
            </w:r>
            <w:r>
              <w:rPr>
                <w:rFonts w:hint="eastAsia" w:ascii="仿宋" w:hAnsi="仿宋" w:eastAsia="仿宋" w:cs="仿宋"/>
                <w:lang w:eastAsia="zh-CN"/>
              </w:rPr>
              <w:t>（</w:t>
            </w:r>
            <w:r>
              <w:rPr>
                <w:rFonts w:hint="eastAsia" w:ascii="仿宋" w:hAnsi="仿宋" w:eastAsia="仿宋" w:cs="仿宋"/>
              </w:rPr>
              <w:t>需提供有效证明材料，且证明材料须提供真彩扫描打印件</w:t>
            </w:r>
            <w:r>
              <w:rPr>
                <w:rFonts w:hint="eastAsia" w:ascii="仿宋" w:hAnsi="仿宋" w:eastAsia="仿宋" w:cs="仿宋"/>
                <w:kern w:val="0"/>
                <w:sz w:val="21"/>
                <w:szCs w:val="21"/>
                <w:lang w:eastAsia="zh-CN"/>
              </w:rPr>
              <w:t>并加盖公章</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35" w:hRule="atLeast"/>
          <w:jc w:val="center"/>
        </w:trPr>
        <w:tc>
          <w:tcPr>
            <w:tcW w:w="900"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szCs w:val="21"/>
              </w:rPr>
            </w:pPr>
          </w:p>
        </w:tc>
        <w:tc>
          <w:tcPr>
            <w:tcW w:w="746" w:type="dxa"/>
            <w:vMerge w:val="continue"/>
            <w:tcBorders>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sz w:val="21"/>
                <w:szCs w:val="21"/>
              </w:rPr>
            </w:pP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新冠肺炎疫情防控表彰（ 3分） </w:t>
            </w:r>
          </w:p>
        </w:tc>
        <w:tc>
          <w:tcPr>
            <w:tcW w:w="5657"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1）投标人单位在新冠疫情防控中贡献突出且受到招标项目所在地县级以上（含县级）人民政府或防疫指挥部表彰的，得2分，否则得0分（附投标人单位获得的表彰的证明文件）。（2）投标人单位中的主要人员在新冠疫情防控中贡献突出且受到招标项目所在地县级以上（含县级）人民政府或防疫指挥部表彰的，得1分，否则得0分。(以相关表彰文件或表彰证书、与投标人单位签订的劳动合同和由社会保险机构出具的近一个月的在投标人单位的社保证明）。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900"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color w:val="000000"/>
                <w:szCs w:val="21"/>
                <w:lang w:val="en-US" w:eastAsia="zh-CN"/>
              </w:rPr>
            </w:pPr>
            <w:r>
              <w:rPr>
                <w:rFonts w:hint="eastAsia" w:ascii="仿宋_GB2312" w:hAnsi="新宋体" w:eastAsia="仿宋_GB2312"/>
                <w:color w:val="000000"/>
                <w:szCs w:val="21"/>
                <w:lang w:val="en-US" w:eastAsia="zh-CN"/>
              </w:rPr>
              <w:t>3</w:t>
            </w:r>
          </w:p>
        </w:tc>
        <w:tc>
          <w:tcPr>
            <w:tcW w:w="746"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default" w:ascii="仿宋_GB2312" w:hAnsi="新宋体" w:eastAsia="仿宋_GB2312"/>
                <w:szCs w:val="21"/>
                <w:lang w:val="en-US" w:eastAsia="zh-CN"/>
              </w:rPr>
            </w:pPr>
            <w:r>
              <w:rPr>
                <w:rFonts w:hint="eastAsia" w:ascii="仿宋_GB2312" w:hAnsi="新宋体" w:eastAsia="仿宋_GB2312"/>
                <w:szCs w:val="21"/>
              </w:rPr>
              <w:t>商务报价部</w:t>
            </w:r>
            <w:r>
              <w:rPr>
                <w:rFonts w:hint="eastAsia" w:ascii="仿宋_GB2312" w:hAnsi="新宋体" w:eastAsia="仿宋_GB2312"/>
                <w:szCs w:val="21"/>
                <w:lang w:eastAsia="zh-CN"/>
              </w:rPr>
              <w:t>份（</w:t>
            </w:r>
            <w:r>
              <w:rPr>
                <w:rFonts w:hint="eastAsia" w:ascii="仿宋_GB2312" w:hAnsi="新宋体" w:eastAsia="仿宋_GB2312"/>
                <w:szCs w:val="21"/>
                <w:lang w:val="en-US" w:eastAsia="zh-CN"/>
              </w:rPr>
              <w:t>30分）</w:t>
            </w:r>
          </w:p>
        </w:tc>
        <w:tc>
          <w:tcPr>
            <w:tcW w:w="2134" w:type="dxa"/>
            <w:tcBorders>
              <w:top w:val="single" w:color="auto" w:sz="4" w:space="0"/>
              <w:left w:val="single" w:color="auto" w:sz="4" w:space="0"/>
              <w:bottom w:val="single" w:color="auto" w:sz="4" w:space="0"/>
              <w:right w:val="single" w:color="auto" w:sz="4" w:space="0"/>
            </w:tcBorders>
            <w:noWrap w:val="0"/>
            <w:vAlign w:val="center"/>
          </w:tcPr>
          <w:p>
            <w:pPr>
              <w:pStyle w:val="23"/>
              <w:keepNext w:val="0"/>
              <w:keepLines w:val="0"/>
              <w:suppressLineNumbers w:val="0"/>
              <w:adjustRightInd w:val="0"/>
              <w:snapToGrid w:val="0"/>
              <w:spacing w:before="0" w:beforeAutospacing="0" w:after="0" w:afterAutospacing="0" w:line="320" w:lineRule="exact"/>
              <w:ind w:left="0" w:right="0"/>
              <w:jc w:val="center"/>
              <w:rPr>
                <w:rFonts w:hint="eastAsia" w:ascii="仿宋_GB2312" w:hAnsi="新宋体" w:eastAsia="仿宋_GB2312"/>
                <w:szCs w:val="21"/>
              </w:rPr>
            </w:pPr>
            <w:r>
              <w:rPr>
                <w:rFonts w:hint="eastAsia" w:ascii="仿宋_GB2312" w:hAnsi="新宋体" w:eastAsia="仿宋_GB2312"/>
                <w:color w:val="000000"/>
                <w:szCs w:val="21"/>
              </w:rPr>
              <w:t>投标总价（30分）</w:t>
            </w:r>
          </w:p>
        </w:tc>
        <w:tc>
          <w:tcPr>
            <w:tcW w:w="5657" w:type="dxa"/>
            <w:tcBorders>
              <w:top w:val="single" w:color="auto" w:sz="4" w:space="0"/>
              <w:left w:val="single" w:color="auto" w:sz="4" w:space="0"/>
              <w:bottom w:val="single" w:color="auto" w:sz="4" w:space="0"/>
              <w:right w:val="single" w:color="auto" w:sz="4" w:space="0"/>
            </w:tcBorders>
            <w:noWrap w:val="0"/>
            <w:vAlign w:val="top"/>
          </w:tcPr>
          <w:p>
            <w:pPr>
              <w:pStyle w:val="23"/>
              <w:keepNext w:val="0"/>
              <w:keepLines w:val="0"/>
              <w:suppressLineNumbers w:val="0"/>
              <w:adjustRightInd w:val="0"/>
              <w:snapToGrid w:val="0"/>
              <w:spacing w:before="0" w:beforeAutospacing="0" w:after="0" w:afterAutospacing="0" w:line="320" w:lineRule="exact"/>
              <w:ind w:left="0" w:right="0" w:firstLine="420" w:firstLineChars="200"/>
              <w:rPr>
                <w:rFonts w:hint="eastAsia" w:ascii="仿宋_GB2312" w:hAnsi="新宋体" w:eastAsia="仿宋_GB2312"/>
                <w:color w:val="000000"/>
                <w:szCs w:val="21"/>
              </w:rPr>
            </w:pPr>
            <w:r>
              <w:rPr>
                <w:rFonts w:hint="eastAsia" w:ascii="仿宋_GB2312" w:hAnsi="新宋体" w:eastAsia="仿宋_GB2312"/>
                <w:color w:val="000000"/>
                <w:szCs w:val="21"/>
              </w:rPr>
              <w:t>综合评分法中的价格分统一采用低价优先法计算，即满足磋商文件要求且最后报价最低的供应商的价格为磋商基准价，其价格分为满分。其他供应商的价格分统一按照下列公式计算：</w:t>
            </w:r>
          </w:p>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rPr>
              <w:t>　　磋商报价得分=（磋商基准价/最后磋商报价）×价格权值×100</w:t>
            </w:r>
          </w:p>
          <w:p>
            <w:pPr>
              <w:pStyle w:val="23"/>
              <w:keepNext w:val="0"/>
              <w:keepLines w:val="0"/>
              <w:suppressLineNumbers w:val="0"/>
              <w:adjustRightInd w:val="0"/>
              <w:snapToGrid w:val="0"/>
              <w:spacing w:before="0" w:beforeAutospacing="0" w:after="0" w:afterAutospacing="0" w:line="320" w:lineRule="exact"/>
              <w:ind w:left="0" w:right="0"/>
              <w:rPr>
                <w:rFonts w:hint="eastAsia" w:ascii="仿宋_GB2312" w:hAnsi="新宋体" w:eastAsia="仿宋_GB2312"/>
                <w:color w:val="000000"/>
                <w:szCs w:val="21"/>
              </w:rPr>
            </w:pPr>
            <w:r>
              <w:rPr>
                <w:rFonts w:hint="eastAsia" w:ascii="仿宋_GB2312" w:hAnsi="新宋体" w:eastAsia="仿宋_GB2312"/>
                <w:color w:val="000000"/>
                <w:szCs w:val="21"/>
              </w:rPr>
              <w:t>　　项目评审过程中，不得去掉最后报价中的最高报价和最低报价。</w:t>
            </w:r>
          </w:p>
        </w:tc>
      </w:tr>
    </w:tbl>
    <w:p>
      <w:pPr>
        <w:spacing w:line="360" w:lineRule="auto"/>
        <w:ind w:firstLine="405"/>
        <w:rPr>
          <w:rFonts w:hint="eastAsia" w:ascii="仿宋_GB2312" w:hAnsi="新宋体" w:eastAsia="仿宋_GB2312"/>
          <w:b/>
          <w:bCs/>
          <w:sz w:val="20"/>
          <w:szCs w:val="20"/>
        </w:rPr>
      </w:pPr>
      <w:r>
        <w:rPr>
          <w:rFonts w:hint="eastAsia" w:ascii="仿宋_GB2312" w:hAnsi="新宋体" w:eastAsia="仿宋_GB2312"/>
          <w:b/>
          <w:bCs/>
          <w:sz w:val="20"/>
          <w:szCs w:val="20"/>
        </w:rPr>
        <w:t>备注：</w:t>
      </w:r>
    </w:p>
    <w:p>
      <w:pPr>
        <w:pStyle w:val="24"/>
        <w:rPr>
          <w:rFonts w:hint="eastAsia" w:ascii="仿宋_GB2312" w:hAnsi="新宋体" w:eastAsia="仿宋_GB2312"/>
          <w:b/>
          <w:bCs/>
          <w:sz w:val="20"/>
          <w:szCs w:val="20"/>
          <w:lang w:val="en-US" w:eastAsia="zh-CN"/>
        </w:rPr>
      </w:pPr>
      <w:r>
        <w:rPr>
          <w:rFonts w:hint="eastAsia" w:ascii="仿宋_GB2312" w:hAnsi="新宋体" w:eastAsia="仿宋_GB2312"/>
          <w:b/>
          <w:bCs/>
          <w:sz w:val="20"/>
          <w:szCs w:val="20"/>
          <w:lang w:val="en-US" w:eastAsia="zh-CN"/>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60" w:lineRule="auto"/>
        <w:ind w:firstLine="402" w:firstLineChars="200"/>
        <w:rPr>
          <w:rFonts w:ascii="Times New Roman" w:hAnsi="Times New Roman" w:eastAsia="方正姚体" w:cs="Times New Roman"/>
          <w:bCs/>
          <w:sz w:val="24"/>
          <w:szCs w:val="24"/>
        </w:rPr>
      </w:pPr>
      <w:r>
        <w:rPr>
          <w:rFonts w:hint="eastAsia" w:ascii="仿宋_GB2312" w:hAnsi="新宋体" w:eastAsia="仿宋_GB2312"/>
          <w:b/>
          <w:bCs/>
          <w:sz w:val="20"/>
          <w:szCs w:val="20"/>
          <w:lang w:val="en-US" w:eastAsia="zh-CN"/>
        </w:rPr>
        <w:t>2.</w:t>
      </w:r>
      <w:r>
        <w:rPr>
          <w:rFonts w:hint="eastAsia" w:ascii="仿宋_GB2312" w:hAnsi="新宋体" w:eastAsia="仿宋_GB2312"/>
          <w:b/>
          <w:bCs/>
          <w:sz w:val="20"/>
          <w:szCs w:val="20"/>
        </w:rPr>
        <w:t>商务标计算按报价人最终报价计算。</w:t>
      </w:r>
      <w:r>
        <w:rPr>
          <w:rFonts w:hint="eastAsia" w:ascii="仿宋_GB2312" w:hAnsi="新宋体" w:eastAsia="仿宋_GB2312"/>
          <w:b/>
          <w:bCs/>
          <w:color w:val="000000"/>
          <w:sz w:val="20"/>
          <w:szCs w:val="22"/>
        </w:rPr>
        <w:t>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pStyle w:val="7"/>
        <w:rPr>
          <w:rFonts w:hint="default" w:asciiTheme="minorEastAsia" w:hAnsiTheme="minorEastAsia" w:eastAsiaTheme="minorEastAsia" w:cstheme="minorEastAsia"/>
          <w:b/>
          <w:bCs/>
          <w:color w:val="000000"/>
          <w:sz w:val="24"/>
          <w:szCs w:val="24"/>
          <w:lang w:val="en-US" w:eastAsia="zh-CN"/>
        </w:rPr>
        <w:sectPr>
          <w:footerReference r:id="rId3" w:type="default"/>
          <w:pgSz w:w="11906" w:h="16838"/>
          <w:pgMar w:top="1440" w:right="1077" w:bottom="1440" w:left="1077" w:header="851" w:footer="992" w:gutter="0"/>
          <w:cols w:space="425" w:num="1"/>
          <w:docGrid w:type="lines" w:linePitch="312" w:charSpace="0"/>
        </w:sectPr>
      </w:pPr>
    </w:p>
    <w:bookmarkEnd w:id="0"/>
    <w:p>
      <w:pPr>
        <w:spacing w:line="440" w:lineRule="exact"/>
        <w:rPr>
          <w:rFonts w:ascii="宋体" w:hAnsi="宋体" w:cs="宋体"/>
          <w:b/>
          <w:bCs/>
          <w:sz w:val="24"/>
          <w:szCs w:val="24"/>
        </w:rPr>
      </w:pPr>
      <w:r>
        <w:rPr>
          <w:rFonts w:hint="eastAsia" w:ascii="宋体" w:hAnsi="宋体" w:cs="宋体"/>
          <w:b/>
          <w:bCs/>
          <w:sz w:val="24"/>
          <w:szCs w:val="24"/>
          <w:lang w:eastAsia="zh-CN"/>
        </w:rPr>
        <w:t>附件</w:t>
      </w:r>
      <w:r>
        <w:rPr>
          <w:rFonts w:hint="eastAsia" w:ascii="宋体" w:hAnsi="宋体" w:cs="宋体"/>
          <w:b/>
          <w:bCs/>
          <w:sz w:val="24"/>
          <w:szCs w:val="24"/>
          <w:lang w:val="en-US" w:eastAsia="zh-CN"/>
        </w:rPr>
        <w:t>3</w:t>
      </w:r>
    </w:p>
    <w:p>
      <w:pPr>
        <w:jc w:val="center"/>
        <w:rPr>
          <w:rFonts w:ascii="Calibri" w:hAnsi="Calibri" w:cs="Calibri"/>
          <w:sz w:val="32"/>
          <w:szCs w:val="32"/>
        </w:rPr>
      </w:pPr>
      <w:r>
        <w:rPr>
          <w:rFonts w:hint="eastAsia" w:ascii="Calibri" w:hAnsi="Calibri" w:cs="宋体"/>
          <w:sz w:val="32"/>
          <w:szCs w:val="32"/>
        </w:rPr>
        <w:t>供应商报名表</w:t>
      </w:r>
    </w:p>
    <w:p>
      <w:pPr>
        <w:rPr>
          <w:rFonts w:ascii="Calibri" w:hAnsi="Calibri" w:cs="Calibri"/>
          <w:sz w:val="24"/>
          <w:szCs w:val="24"/>
        </w:rPr>
      </w:pPr>
      <w:r>
        <w:rPr>
          <w:rFonts w:ascii="Calibri" w:hAnsi="Calibri" w:cs="Calibri"/>
          <w:sz w:val="24"/>
          <w:szCs w:val="24"/>
        </w:rPr>
        <w:t xml:space="preserve"> </w:t>
      </w:r>
    </w:p>
    <w:p>
      <w:pPr>
        <w:rPr>
          <w:rFonts w:ascii="Calibri" w:hAnsi="Calibri" w:cs="Calibri"/>
          <w:sz w:val="24"/>
          <w:szCs w:val="24"/>
        </w:rPr>
      </w:pPr>
      <w:r>
        <w:rPr>
          <w:rFonts w:hint="eastAsia" w:ascii="Calibri" w:hAnsi="Calibri" w:cs="宋体"/>
          <w:sz w:val="24"/>
          <w:szCs w:val="24"/>
        </w:rPr>
        <w:t>项目名称：</w:t>
      </w:r>
      <w:r>
        <w:rPr>
          <w:rFonts w:ascii="Calibri" w:hAnsi="Calibri" w:cs="Calibri"/>
          <w:sz w:val="24"/>
          <w:szCs w:val="24"/>
        </w:rPr>
        <w:t xml:space="preserve">                         </w:t>
      </w:r>
      <w:r>
        <w:rPr>
          <w:rFonts w:hint="eastAsia" w:ascii="Calibri" w:hAnsi="Calibri" w:cs="Calibri"/>
          <w:sz w:val="24"/>
          <w:szCs w:val="24"/>
          <w:lang w:val="en-US" w:eastAsia="zh-CN"/>
        </w:rPr>
        <w:t xml:space="preserve">                      </w:t>
      </w:r>
      <w:r>
        <w:rPr>
          <w:rFonts w:hint="eastAsia" w:ascii="Calibri" w:hAnsi="Calibri" w:cs="宋体"/>
          <w:sz w:val="24"/>
          <w:szCs w:val="24"/>
        </w:rPr>
        <w:t>项目编号</w:t>
      </w:r>
      <w:r>
        <w:rPr>
          <w:rFonts w:hint="eastAsia" w:ascii="Calibri" w:hAnsi="Calibri" w:cs="宋体"/>
          <w:sz w:val="24"/>
          <w:szCs w:val="24"/>
          <w:lang w:val="en-US" w:eastAsia="zh-CN"/>
        </w:rPr>
        <w:t xml:space="preserve">:          </w:t>
      </w:r>
    </w:p>
    <w:tbl>
      <w:tblPr>
        <w:tblStyle w:val="11"/>
        <w:tblW w:w="10660" w:type="dxa"/>
        <w:tblInd w:w="0" w:type="dxa"/>
        <w:tblLayout w:type="fixed"/>
        <w:tblCellMar>
          <w:top w:w="0" w:type="dxa"/>
          <w:left w:w="108" w:type="dxa"/>
          <w:bottom w:w="0" w:type="dxa"/>
          <w:right w:w="108" w:type="dxa"/>
        </w:tblCellMar>
      </w:tblPr>
      <w:tblGrid>
        <w:gridCol w:w="2794"/>
        <w:gridCol w:w="7866"/>
      </w:tblGrid>
      <w:tr>
        <w:tblPrEx>
          <w:tblCellMar>
            <w:top w:w="0" w:type="dxa"/>
            <w:left w:w="108" w:type="dxa"/>
            <w:bottom w:w="0" w:type="dxa"/>
            <w:right w:w="108" w:type="dxa"/>
          </w:tblCellMar>
        </w:tblPrEx>
        <w:trPr>
          <w:trHeight w:val="604" w:hRule="atLeast"/>
        </w:trPr>
        <w:tc>
          <w:tcPr>
            <w:tcW w:w="2794" w:type="dxa"/>
            <w:tcBorders>
              <w:top w:val="single" w:color="auto" w:sz="4"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center"/>
              <w:rPr>
                <w:rFonts w:hint="default" w:ascii="宋体" w:hAnsi="宋体" w:cs="宋体"/>
                <w:kern w:val="0"/>
                <w:sz w:val="24"/>
                <w:szCs w:val="24"/>
              </w:rPr>
            </w:pPr>
            <w:r>
              <w:rPr>
                <w:rFonts w:hint="eastAsia" w:ascii="宋体" w:hAnsi="宋体" w:cs="宋体"/>
                <w:kern w:val="0"/>
                <w:sz w:val="24"/>
                <w:szCs w:val="24"/>
              </w:rPr>
              <w:t>供应商名称（盖章）</w:t>
            </w:r>
          </w:p>
        </w:tc>
        <w:tc>
          <w:tcPr>
            <w:tcW w:w="7866" w:type="dxa"/>
            <w:tcBorders>
              <w:top w:val="single" w:color="auto" w:sz="4"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left"/>
              <w:rPr>
                <w:rFonts w:hint="default"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475" w:hRule="atLeast"/>
        </w:trPr>
        <w:tc>
          <w:tcPr>
            <w:tcW w:w="2794"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center"/>
              <w:rPr>
                <w:rFonts w:hint="default" w:ascii="宋体" w:hAnsi="宋体" w:cs="宋体"/>
                <w:kern w:val="0"/>
                <w:sz w:val="24"/>
                <w:szCs w:val="24"/>
              </w:rPr>
            </w:pPr>
            <w:r>
              <w:rPr>
                <w:rFonts w:hint="eastAsia" w:ascii="宋体" w:hAnsi="宋体" w:cs="宋体"/>
                <w:kern w:val="0"/>
                <w:sz w:val="24"/>
                <w:szCs w:val="24"/>
              </w:rPr>
              <w:t>联系人姓名</w:t>
            </w:r>
          </w:p>
        </w:tc>
        <w:tc>
          <w:tcPr>
            <w:tcW w:w="7866"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left"/>
              <w:rPr>
                <w:rFonts w:hint="default"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597" w:hRule="atLeast"/>
        </w:trPr>
        <w:tc>
          <w:tcPr>
            <w:tcW w:w="2794"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center"/>
              <w:rPr>
                <w:rFonts w:hint="default" w:ascii="宋体" w:hAnsi="宋体" w:cs="宋体"/>
                <w:kern w:val="0"/>
                <w:sz w:val="24"/>
                <w:szCs w:val="24"/>
              </w:rPr>
            </w:pPr>
            <w:r>
              <w:rPr>
                <w:rFonts w:hint="eastAsia" w:ascii="宋体" w:hAnsi="宋体" w:cs="宋体"/>
                <w:kern w:val="0"/>
                <w:sz w:val="24"/>
                <w:szCs w:val="24"/>
              </w:rPr>
              <w:t xml:space="preserve">联系人电话      </w:t>
            </w:r>
            <w:r>
              <w:rPr>
                <w:rFonts w:hint="eastAsia" w:ascii="宋体" w:hAnsi="宋体" w:cs="宋体"/>
                <w:kern w:val="0"/>
                <w:sz w:val="24"/>
                <w:szCs w:val="24"/>
                <w:lang w:val="en-US" w:eastAsia="zh-CN"/>
              </w:rPr>
              <w:t xml:space="preserve">      </w:t>
            </w:r>
            <w:r>
              <w:rPr>
                <w:rFonts w:hint="eastAsia" w:ascii="宋体" w:hAnsi="宋体" w:cs="宋体"/>
                <w:kern w:val="0"/>
                <w:sz w:val="24"/>
                <w:szCs w:val="24"/>
              </w:rPr>
              <w:t>（办公电话和手机</w:t>
            </w:r>
            <w:r>
              <w:rPr>
                <w:rFonts w:hint="eastAsia" w:ascii="宋体" w:hAnsi="宋体" w:cs="宋体"/>
                <w:kern w:val="0"/>
                <w:sz w:val="22"/>
              </w:rPr>
              <w:t>）</w:t>
            </w:r>
          </w:p>
        </w:tc>
        <w:tc>
          <w:tcPr>
            <w:tcW w:w="7866"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left"/>
              <w:rPr>
                <w:rFonts w:hint="default"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421" w:hRule="atLeast"/>
        </w:trPr>
        <w:tc>
          <w:tcPr>
            <w:tcW w:w="2794" w:type="dxa"/>
            <w:tcBorders>
              <w:top w:val="single" w:color="auto" w:sz="6" w:space="0"/>
              <w:left w:val="single" w:color="auto" w:sz="4" w:space="0"/>
              <w:bottom w:val="single" w:color="auto" w:sz="6" w:space="0"/>
              <w:right w:val="single" w:color="auto" w:sz="6"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center"/>
              <w:rPr>
                <w:rFonts w:hint="default" w:ascii="宋体" w:hAnsi="宋体" w:cs="宋体"/>
                <w:kern w:val="0"/>
                <w:sz w:val="24"/>
                <w:szCs w:val="24"/>
              </w:rPr>
            </w:pPr>
            <w:r>
              <w:rPr>
                <w:rFonts w:hint="eastAsia" w:ascii="宋体" w:hAnsi="宋体" w:cs="宋体"/>
                <w:kern w:val="0"/>
                <w:sz w:val="24"/>
                <w:szCs w:val="24"/>
              </w:rPr>
              <w:t>联系人邮箱</w:t>
            </w:r>
          </w:p>
        </w:tc>
        <w:tc>
          <w:tcPr>
            <w:tcW w:w="7866" w:type="dxa"/>
            <w:tcBorders>
              <w:top w:val="single" w:color="auto" w:sz="6" w:space="0"/>
              <w:left w:val="single" w:color="auto" w:sz="6" w:space="0"/>
              <w:bottom w:val="single" w:color="auto" w:sz="6" w:space="0"/>
              <w:right w:val="single" w:color="auto" w:sz="4"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left"/>
              <w:rPr>
                <w:rFonts w:hint="default" w:ascii="宋体" w:hAnsi="宋体" w:cs="宋体"/>
                <w:kern w:val="0"/>
                <w:sz w:val="24"/>
                <w:szCs w:val="24"/>
              </w:rPr>
            </w:pPr>
            <w:r>
              <w:rPr>
                <w:rFonts w:hint="eastAsia" w:ascii="宋体" w:hAnsi="宋体" w:cs="宋体"/>
                <w:kern w:val="0"/>
                <w:sz w:val="24"/>
                <w:szCs w:val="24"/>
              </w:rPr>
              <w:t> </w:t>
            </w:r>
          </w:p>
        </w:tc>
      </w:tr>
      <w:tr>
        <w:tblPrEx>
          <w:tblCellMar>
            <w:top w:w="0" w:type="dxa"/>
            <w:left w:w="108" w:type="dxa"/>
            <w:bottom w:w="0" w:type="dxa"/>
            <w:right w:w="108" w:type="dxa"/>
          </w:tblCellMar>
        </w:tblPrEx>
        <w:trPr>
          <w:trHeight w:val="90" w:hRule="atLeast"/>
        </w:trPr>
        <w:tc>
          <w:tcPr>
            <w:tcW w:w="2794" w:type="dxa"/>
            <w:vMerge w:val="restart"/>
            <w:tcBorders>
              <w:top w:val="single" w:color="auto" w:sz="6" w:space="0"/>
              <w:left w:val="single" w:color="auto" w:sz="4" w:space="0"/>
              <w:right w:val="single" w:color="auto" w:sz="6" w:space="0"/>
            </w:tcBorders>
            <w:shd w:val="clear" w:color="auto" w:fill="auto"/>
            <w:vAlign w:val="center"/>
          </w:tcPr>
          <w:p>
            <w:pPr>
              <w:keepNext w:val="0"/>
              <w:keepLines w:val="0"/>
              <w:widowControl/>
              <w:suppressLineNumbers w:val="0"/>
              <w:spacing w:before="100" w:beforeAutospacing="1" w:after="100" w:afterAutospacing="1" w:line="70" w:lineRule="atLeast"/>
              <w:ind w:left="0" w:right="0"/>
              <w:jc w:val="center"/>
              <w:rPr>
                <w:rFonts w:hint="default" w:ascii="宋体" w:hAnsi="宋体" w:cs="宋体"/>
                <w:kern w:val="0"/>
                <w:sz w:val="24"/>
                <w:szCs w:val="24"/>
              </w:rPr>
            </w:pPr>
            <w:r>
              <w:rPr>
                <w:rFonts w:hint="eastAsia" w:ascii="宋体" w:hAnsi="宋体" w:cs="宋体"/>
                <w:kern w:val="0"/>
                <w:sz w:val="24"/>
                <w:szCs w:val="24"/>
              </w:rPr>
              <w:t>供应商提供的报名资料</w:t>
            </w:r>
          </w:p>
        </w:tc>
        <w:tc>
          <w:tcPr>
            <w:tcW w:w="7866" w:type="dxa"/>
            <w:tcBorders>
              <w:top w:val="single" w:color="auto" w:sz="6" w:space="0"/>
              <w:left w:val="single" w:color="auto" w:sz="6" w:space="0"/>
              <w:bottom w:val="single" w:color="auto" w:sz="6" w:space="0"/>
              <w:right w:val="single" w:color="auto" w:sz="4" w:space="0"/>
            </w:tcBorders>
            <w:shd w:val="clear" w:color="auto" w:fill="auto"/>
          </w:tcPr>
          <w:p>
            <w:pPr>
              <w:keepNext w:val="0"/>
              <w:keepLines w:val="0"/>
              <w:suppressLineNumbers w:val="0"/>
              <w:spacing w:before="0" w:beforeAutospacing="0" w:after="0" w:afterAutospacing="0" w:line="70" w:lineRule="atLeast"/>
              <w:ind w:left="0" w:right="0"/>
              <w:rPr>
                <w:rFonts w:hint="default" w:ascii="Calibri" w:hAnsi="Calibri" w:cs="Calibri"/>
                <w:sz w:val="24"/>
                <w:szCs w:val="24"/>
              </w:rPr>
            </w:pPr>
            <w:r>
              <w:rPr>
                <w:rFonts w:hint="default" w:ascii="Calibri" w:hAnsi="Calibri" w:cs="Calibri"/>
                <w:sz w:val="24"/>
                <w:szCs w:val="24"/>
              </w:rPr>
              <w:t>1.</w:t>
            </w:r>
            <w:r>
              <w:rPr>
                <w:rFonts w:hint="eastAsia" w:ascii="宋体" w:hAnsi="宋体" w:cs="宋体"/>
                <w:sz w:val="24"/>
                <w:szCs w:val="24"/>
              </w:rPr>
              <w:t>法人或者其他组织的营业执照等证明文件。</w:t>
            </w:r>
          </w:p>
        </w:tc>
      </w:tr>
      <w:tr>
        <w:tblPrEx>
          <w:tblCellMar>
            <w:top w:w="0" w:type="dxa"/>
            <w:left w:w="108" w:type="dxa"/>
            <w:bottom w:w="0" w:type="dxa"/>
            <w:right w:w="108" w:type="dxa"/>
          </w:tblCellMar>
        </w:tblPrEx>
        <w:trPr>
          <w:trHeight w:val="421" w:hRule="atLeast"/>
        </w:trPr>
        <w:tc>
          <w:tcPr>
            <w:tcW w:w="2794" w:type="dxa"/>
            <w:vMerge w:val="continue"/>
            <w:tcBorders>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eastAsia="Times New Roman"/>
                <w:sz w:val="20"/>
                <w:szCs w:val="20"/>
              </w:rPr>
            </w:pPr>
          </w:p>
        </w:tc>
        <w:tc>
          <w:tcPr>
            <w:tcW w:w="7866" w:type="dxa"/>
            <w:tcBorders>
              <w:top w:val="single" w:color="auto" w:sz="6" w:space="0"/>
              <w:left w:val="single" w:color="auto" w:sz="6" w:space="0"/>
              <w:bottom w:val="single" w:color="auto" w:sz="6" w:space="0"/>
              <w:right w:val="single" w:color="auto" w:sz="4" w:space="0"/>
            </w:tcBorders>
            <w:shd w:val="clear" w:color="auto" w:fill="auto"/>
          </w:tcPr>
          <w:p>
            <w:pPr>
              <w:keepNext w:val="0"/>
              <w:keepLines w:val="0"/>
              <w:suppressLineNumbers w:val="0"/>
              <w:spacing w:before="0" w:beforeAutospacing="0" w:after="0" w:afterAutospacing="0" w:line="70" w:lineRule="atLeast"/>
              <w:ind w:left="0" w:right="0"/>
              <w:rPr>
                <w:rFonts w:hint="default" w:ascii="Calibri" w:hAnsi="Calibri" w:cs="Calibri"/>
                <w:sz w:val="24"/>
                <w:szCs w:val="24"/>
              </w:rPr>
            </w:pPr>
            <w:r>
              <w:rPr>
                <w:rFonts w:hint="default" w:ascii="Calibri" w:hAnsi="Calibri" w:cs="Calibri"/>
                <w:sz w:val="24"/>
                <w:szCs w:val="24"/>
              </w:rPr>
              <w:t>2.</w:t>
            </w:r>
            <w:r>
              <w:rPr>
                <w:rFonts w:hint="eastAsia"/>
                <w:sz w:val="24"/>
                <w:szCs w:val="24"/>
              </w:rPr>
              <w:t>财务状况报告，依法缴纳税收和社会保障资金的相关材料。</w:t>
            </w:r>
            <w:r>
              <w:rPr>
                <w:rFonts w:hint="eastAsia" w:ascii="Calibri" w:hAnsi="Calibri" w:cs="Calibri"/>
                <w:sz w:val="24"/>
                <w:szCs w:val="24"/>
              </w:rPr>
              <w:t>。</w:t>
            </w:r>
          </w:p>
        </w:tc>
      </w:tr>
      <w:tr>
        <w:tblPrEx>
          <w:tblCellMar>
            <w:top w:w="0" w:type="dxa"/>
            <w:left w:w="108" w:type="dxa"/>
            <w:bottom w:w="0" w:type="dxa"/>
            <w:right w:w="108" w:type="dxa"/>
          </w:tblCellMar>
        </w:tblPrEx>
        <w:trPr>
          <w:trHeight w:val="530" w:hRule="atLeast"/>
        </w:trPr>
        <w:tc>
          <w:tcPr>
            <w:tcW w:w="2794" w:type="dxa"/>
            <w:vMerge w:val="continue"/>
            <w:tcBorders>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eastAsia="Times New Roman"/>
                <w:sz w:val="20"/>
                <w:szCs w:val="20"/>
              </w:rPr>
            </w:pPr>
          </w:p>
        </w:tc>
        <w:tc>
          <w:tcPr>
            <w:tcW w:w="7866" w:type="dxa"/>
            <w:tcBorders>
              <w:top w:val="single" w:color="auto" w:sz="6" w:space="0"/>
              <w:left w:val="single" w:color="auto" w:sz="6" w:space="0"/>
              <w:bottom w:val="single" w:color="auto" w:sz="6" w:space="0"/>
              <w:right w:val="single" w:color="auto" w:sz="4" w:space="0"/>
            </w:tcBorders>
            <w:shd w:val="clear" w:color="auto" w:fill="auto"/>
          </w:tcPr>
          <w:p>
            <w:pPr>
              <w:keepNext w:val="0"/>
              <w:keepLines w:val="0"/>
              <w:widowControl/>
              <w:suppressLineNumbers w:val="0"/>
              <w:snapToGrid w:val="0"/>
              <w:spacing w:before="100" w:beforeAutospacing="1" w:after="100" w:afterAutospacing="1" w:line="400" w:lineRule="exact"/>
              <w:ind w:left="0" w:right="0"/>
              <w:rPr>
                <w:rFonts w:hint="default" w:ascii="宋体" w:hAnsi="宋体" w:cs="宋体"/>
                <w:kern w:val="0"/>
                <w:sz w:val="24"/>
                <w:szCs w:val="21"/>
              </w:rPr>
            </w:pPr>
            <w:r>
              <w:rPr>
                <w:rFonts w:hint="eastAsia" w:ascii="Calibri" w:hAnsi="Calibri" w:cs="Calibri"/>
                <w:sz w:val="24"/>
                <w:szCs w:val="24"/>
                <w:lang w:val="en-US" w:eastAsia="zh-CN"/>
              </w:rPr>
              <w:t>3</w:t>
            </w:r>
            <w:r>
              <w:rPr>
                <w:rFonts w:hint="default" w:ascii="Calibri" w:hAnsi="Calibri" w:cs="Calibri"/>
                <w:sz w:val="24"/>
                <w:szCs w:val="24"/>
              </w:rPr>
              <w:t>.</w:t>
            </w:r>
            <w:r>
              <w:rPr>
                <w:rFonts w:hint="eastAsia" w:ascii="宋体" w:hAnsi="宋体" w:cs="宋体"/>
                <w:sz w:val="24"/>
                <w:szCs w:val="24"/>
              </w:rPr>
              <w:t>具备履行合同所必需的设备和专业技术能力的证明材料。</w:t>
            </w:r>
          </w:p>
        </w:tc>
      </w:tr>
      <w:tr>
        <w:tblPrEx>
          <w:tblCellMar>
            <w:top w:w="0" w:type="dxa"/>
            <w:left w:w="108" w:type="dxa"/>
            <w:bottom w:w="0" w:type="dxa"/>
            <w:right w:w="108" w:type="dxa"/>
          </w:tblCellMar>
        </w:tblPrEx>
        <w:trPr>
          <w:trHeight w:val="807" w:hRule="atLeast"/>
        </w:trPr>
        <w:tc>
          <w:tcPr>
            <w:tcW w:w="2794" w:type="dxa"/>
            <w:vMerge w:val="continue"/>
            <w:tcBorders>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eastAsia="Times New Roman"/>
                <w:sz w:val="20"/>
                <w:szCs w:val="20"/>
              </w:rPr>
            </w:pPr>
          </w:p>
        </w:tc>
        <w:tc>
          <w:tcPr>
            <w:tcW w:w="7866" w:type="dxa"/>
            <w:tcBorders>
              <w:top w:val="single" w:color="auto" w:sz="6" w:space="0"/>
              <w:left w:val="single" w:color="auto" w:sz="6" w:space="0"/>
              <w:bottom w:val="single" w:color="auto" w:sz="6" w:space="0"/>
              <w:right w:val="single" w:color="auto" w:sz="4" w:space="0"/>
            </w:tcBorders>
            <w:shd w:val="clear" w:color="auto" w:fill="auto"/>
          </w:tcPr>
          <w:p>
            <w:pPr>
              <w:keepNext w:val="0"/>
              <w:keepLines w:val="0"/>
              <w:suppressLineNumbers w:val="0"/>
              <w:spacing w:before="0" w:beforeAutospacing="0" w:after="0" w:afterAutospacing="0" w:line="70" w:lineRule="atLeast"/>
              <w:ind w:left="0" w:right="0"/>
              <w:rPr>
                <w:rFonts w:hint="default" w:ascii="Calibri" w:hAnsi="Calibri" w:cs="Calibri"/>
                <w:sz w:val="24"/>
                <w:szCs w:val="24"/>
              </w:rPr>
            </w:pPr>
            <w:r>
              <w:rPr>
                <w:rFonts w:hint="eastAsia" w:ascii="Calibri" w:hAnsi="Calibri" w:cs="Calibri"/>
                <w:sz w:val="24"/>
                <w:szCs w:val="24"/>
                <w:lang w:val="en-US" w:eastAsia="zh-CN"/>
              </w:rPr>
              <w:t>4</w:t>
            </w:r>
            <w:r>
              <w:rPr>
                <w:rFonts w:hint="default" w:ascii="Calibri" w:hAnsi="Calibri" w:cs="Calibri"/>
                <w:sz w:val="24"/>
                <w:szCs w:val="24"/>
              </w:rPr>
              <w:t>.</w:t>
            </w:r>
            <w:r>
              <w:rPr>
                <w:rFonts w:hint="eastAsia" w:ascii="宋体" w:hAnsi="宋体" w:cs="宋体"/>
                <w:sz w:val="24"/>
                <w:szCs w:val="24"/>
              </w:rPr>
              <w:t>参加政府采购活动前</w:t>
            </w:r>
            <w:r>
              <w:rPr>
                <w:rFonts w:hint="default" w:ascii="Calibri" w:hAnsi="Calibri" w:cs="Calibri"/>
                <w:sz w:val="24"/>
                <w:szCs w:val="24"/>
              </w:rPr>
              <w:t>3</w:t>
            </w:r>
            <w:r>
              <w:rPr>
                <w:rFonts w:hint="eastAsia" w:ascii="宋体" w:hAnsi="宋体" w:cs="宋体"/>
                <w:sz w:val="24"/>
                <w:szCs w:val="24"/>
              </w:rPr>
              <w:t>年内在经营活动中没有重大违法记录的书面声明。</w:t>
            </w:r>
          </w:p>
        </w:tc>
      </w:tr>
      <w:tr>
        <w:tblPrEx>
          <w:tblCellMar>
            <w:top w:w="0" w:type="dxa"/>
            <w:left w:w="108" w:type="dxa"/>
            <w:bottom w:w="0" w:type="dxa"/>
            <w:right w:w="108" w:type="dxa"/>
          </w:tblCellMar>
        </w:tblPrEx>
        <w:trPr>
          <w:trHeight w:val="421" w:hRule="atLeast"/>
        </w:trPr>
        <w:tc>
          <w:tcPr>
            <w:tcW w:w="2794" w:type="dxa"/>
            <w:vMerge w:val="continue"/>
            <w:tcBorders>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eastAsia="Times New Roman"/>
                <w:sz w:val="20"/>
                <w:szCs w:val="20"/>
              </w:rPr>
            </w:pPr>
          </w:p>
        </w:tc>
        <w:tc>
          <w:tcPr>
            <w:tcW w:w="7866" w:type="dxa"/>
            <w:tcBorders>
              <w:top w:val="single" w:color="auto" w:sz="6" w:space="0"/>
              <w:left w:val="single" w:color="auto" w:sz="6" w:space="0"/>
              <w:bottom w:val="single" w:color="auto" w:sz="6" w:space="0"/>
              <w:right w:val="single" w:color="auto" w:sz="4" w:space="0"/>
            </w:tcBorders>
            <w:shd w:val="clear" w:color="auto" w:fill="auto"/>
          </w:tcPr>
          <w:p>
            <w:pPr>
              <w:keepNext w:val="0"/>
              <w:keepLines w:val="0"/>
              <w:suppressLineNumbers w:val="0"/>
              <w:spacing w:before="0" w:beforeAutospacing="0" w:after="0" w:afterAutospacing="0" w:line="70" w:lineRule="atLeast"/>
              <w:ind w:left="0" w:right="0"/>
              <w:rPr>
                <w:rFonts w:hint="default" w:ascii="Calibri" w:hAnsi="Calibri" w:cs="Calibri"/>
                <w:sz w:val="24"/>
                <w:szCs w:val="24"/>
              </w:rPr>
            </w:pPr>
            <w:r>
              <w:rPr>
                <w:rFonts w:hint="eastAsia" w:ascii="Calibri" w:hAnsi="Calibri" w:cs="Calibri"/>
                <w:sz w:val="24"/>
                <w:szCs w:val="24"/>
                <w:lang w:val="en-US" w:eastAsia="zh-CN"/>
              </w:rPr>
              <w:t>5</w:t>
            </w:r>
            <w:r>
              <w:rPr>
                <w:rFonts w:hint="default" w:ascii="Calibri" w:hAnsi="Calibri" w:cs="Calibri"/>
                <w:sz w:val="24"/>
                <w:szCs w:val="24"/>
              </w:rPr>
              <w:t>.</w:t>
            </w:r>
            <w:r>
              <w:rPr>
                <w:rFonts w:hint="eastAsia" w:ascii="宋体" w:hAnsi="宋体" w:cs="宋体"/>
                <w:sz w:val="24"/>
                <w:szCs w:val="24"/>
              </w:rPr>
              <w:t>具备法律、行政法规规定的其他条件的证明材料。</w:t>
            </w:r>
          </w:p>
        </w:tc>
      </w:tr>
      <w:tr>
        <w:tblPrEx>
          <w:tblCellMar>
            <w:top w:w="0" w:type="dxa"/>
            <w:left w:w="108" w:type="dxa"/>
            <w:bottom w:w="0" w:type="dxa"/>
            <w:right w:w="108" w:type="dxa"/>
          </w:tblCellMar>
        </w:tblPrEx>
        <w:trPr>
          <w:trHeight w:val="1281" w:hRule="atLeast"/>
        </w:trPr>
        <w:tc>
          <w:tcPr>
            <w:tcW w:w="2794" w:type="dxa"/>
            <w:vMerge w:val="continue"/>
            <w:tcBorders>
              <w:left w:val="single" w:color="auto" w:sz="4"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eastAsia="Times New Roman"/>
                <w:sz w:val="20"/>
                <w:szCs w:val="20"/>
              </w:rPr>
            </w:pPr>
          </w:p>
        </w:tc>
        <w:tc>
          <w:tcPr>
            <w:tcW w:w="7866" w:type="dxa"/>
            <w:tcBorders>
              <w:top w:val="single" w:color="auto" w:sz="6" w:space="0"/>
              <w:left w:val="single" w:color="auto" w:sz="6" w:space="0"/>
              <w:bottom w:val="single" w:color="auto" w:sz="6" w:space="0"/>
              <w:right w:val="single" w:color="auto" w:sz="4" w:space="0"/>
            </w:tcBorders>
            <w:shd w:val="clear" w:color="auto" w:fill="auto"/>
          </w:tcPr>
          <w:p>
            <w:pPr>
              <w:keepNext w:val="0"/>
              <w:keepLines w:val="0"/>
              <w:suppressLineNumbers w:val="0"/>
              <w:spacing w:before="0" w:beforeAutospacing="0" w:after="0" w:afterAutospacing="0" w:line="70" w:lineRule="atLeast"/>
              <w:ind w:left="0" w:right="0"/>
              <w:rPr>
                <w:rFonts w:hint="default" w:ascii="Calibri" w:hAnsi="Calibri" w:cs="Calibri"/>
                <w:sz w:val="24"/>
                <w:szCs w:val="24"/>
              </w:rPr>
            </w:pPr>
            <w:r>
              <w:rPr>
                <w:rFonts w:hint="eastAsia" w:ascii="Calibri" w:hAnsi="Calibri" w:cs="Calibri"/>
                <w:sz w:val="24"/>
                <w:szCs w:val="24"/>
                <w:lang w:val="en-US" w:eastAsia="zh-CN"/>
              </w:rPr>
              <w:t>6</w:t>
            </w:r>
            <w:r>
              <w:rPr>
                <w:rFonts w:hint="default" w:ascii="Calibri" w:hAnsi="Calibri" w:cs="Calibri"/>
                <w:sz w:val="24"/>
                <w:szCs w:val="24"/>
              </w:rPr>
              <w:t>.</w:t>
            </w:r>
            <w:r>
              <w:rPr>
                <w:rFonts w:hint="default" w:ascii="Calibri" w:hAnsi="宋体" w:cs="宋体"/>
                <w:color w:val="000000"/>
                <w:kern w:val="0"/>
                <w:sz w:val="24"/>
                <w:szCs w:val="21"/>
              </w:rPr>
              <w:t xml:space="preserve"> </w:t>
            </w:r>
            <w:r>
              <w:rPr>
                <w:rFonts w:hint="eastAsia" w:ascii="Calibri" w:hAnsi="宋体" w:cs="宋体"/>
                <w:color w:val="000000"/>
                <w:kern w:val="0"/>
                <w:sz w:val="24"/>
                <w:szCs w:val="21"/>
              </w:rPr>
              <w:t>未被列入</w:t>
            </w:r>
            <w:r>
              <w:rPr>
                <w:rFonts w:hint="default" w:ascii="Calibri" w:hAnsi="宋体" w:cs="宋体"/>
                <w:color w:val="000000"/>
                <w:kern w:val="0"/>
                <w:sz w:val="24"/>
                <w:szCs w:val="21"/>
              </w:rPr>
              <w:t xml:space="preserve"> </w:t>
            </w:r>
            <w:r>
              <w:rPr>
                <w:rFonts w:hint="eastAsia" w:ascii="Calibri" w:hAnsi="宋体" w:cs="宋体"/>
                <w:color w:val="000000"/>
                <w:kern w:val="0"/>
                <w:sz w:val="24"/>
                <w:szCs w:val="21"/>
              </w:rPr>
              <w:t>“信用中国”网站（</w:t>
            </w:r>
            <w:r>
              <w:rPr>
                <w:rFonts w:hint="default" w:ascii="Calibri" w:hAnsi="宋体" w:cs="宋体"/>
                <w:color w:val="000000"/>
                <w:kern w:val="0"/>
                <w:sz w:val="24"/>
                <w:szCs w:val="21"/>
              </w:rPr>
              <w:t>www.creditchina.gov.cn</w:t>
            </w:r>
            <w:r>
              <w:rPr>
                <w:rFonts w:hint="eastAsia" w:ascii="Calibri" w:hAnsi="宋体" w:cs="宋体"/>
                <w:color w:val="000000"/>
                <w:kern w:val="0"/>
                <w:sz w:val="24"/>
                <w:szCs w:val="21"/>
              </w:rPr>
              <w:t>）失信被执行人、重大税收违法案件当事人名单、政府采购严重违法失信行为记录名单</w:t>
            </w:r>
            <w:r>
              <w:rPr>
                <w:rFonts w:hint="eastAsia" w:ascii="Calibri" w:hAnsi="宋体" w:cs="宋体"/>
                <w:bCs/>
                <w:color w:val="000000"/>
                <w:kern w:val="0"/>
                <w:sz w:val="24"/>
                <w:szCs w:val="21"/>
              </w:rPr>
              <w:t>和“中国政府采购”网站</w:t>
            </w:r>
            <w:r>
              <w:rPr>
                <w:rFonts w:hint="default" w:ascii="Calibri" w:hAnsi="宋体" w:cs="宋体"/>
                <w:bCs/>
                <w:color w:val="000000"/>
                <w:kern w:val="0"/>
                <w:sz w:val="24"/>
                <w:szCs w:val="21"/>
              </w:rPr>
              <w:t>(www.ccgp. gov.cn)</w:t>
            </w:r>
            <w:r>
              <w:rPr>
                <w:rFonts w:hint="eastAsia" w:ascii="Calibri" w:hAnsi="宋体" w:cs="宋体"/>
                <w:bCs/>
                <w:color w:val="000000"/>
                <w:kern w:val="0"/>
                <w:sz w:val="24"/>
                <w:szCs w:val="21"/>
              </w:rPr>
              <w:t>政府采购严重违法失信行为记录名单</w:t>
            </w:r>
            <w:r>
              <w:rPr>
                <w:rFonts w:hint="eastAsia" w:ascii="Calibri" w:hAnsi="宋体" w:cs="宋体"/>
                <w:color w:val="000000"/>
                <w:kern w:val="0"/>
                <w:sz w:val="24"/>
                <w:szCs w:val="21"/>
              </w:rPr>
              <w:t>的网页打印件。</w:t>
            </w:r>
          </w:p>
        </w:tc>
      </w:tr>
      <w:tr>
        <w:tblPrEx>
          <w:tblCellMar>
            <w:top w:w="0" w:type="dxa"/>
            <w:left w:w="108" w:type="dxa"/>
            <w:bottom w:w="0" w:type="dxa"/>
            <w:right w:w="108" w:type="dxa"/>
          </w:tblCellMar>
        </w:tblPrEx>
        <w:trPr>
          <w:trHeight w:val="1185" w:hRule="atLeast"/>
        </w:trPr>
        <w:tc>
          <w:tcPr>
            <w:tcW w:w="2794" w:type="dxa"/>
            <w:vMerge w:val="continue"/>
            <w:tcBorders>
              <w:left w:val="single" w:color="auto" w:sz="4" w:space="0"/>
              <w:bottom w:val="single" w:color="auto" w:sz="6" w:space="0"/>
              <w:right w:val="single" w:color="auto" w:sz="6" w:space="0"/>
            </w:tcBorders>
            <w:shd w:val="clear" w:color="auto" w:fill="auto"/>
            <w:vAlign w:val="center"/>
          </w:tcPr>
          <w:p>
            <w:pPr>
              <w:keepNext w:val="0"/>
              <w:keepLines w:val="0"/>
              <w:suppressLineNumbers w:val="0"/>
              <w:spacing w:before="0" w:beforeAutospacing="0" w:after="0" w:afterAutospacing="0"/>
              <w:ind w:left="0" w:right="0"/>
              <w:rPr>
                <w:rFonts w:hint="default" w:eastAsia="Times New Roman"/>
                <w:sz w:val="20"/>
                <w:szCs w:val="20"/>
              </w:rPr>
            </w:pPr>
          </w:p>
        </w:tc>
        <w:tc>
          <w:tcPr>
            <w:tcW w:w="7866" w:type="dxa"/>
            <w:tcBorders>
              <w:top w:val="single" w:color="auto" w:sz="6" w:space="0"/>
              <w:left w:val="single" w:color="auto" w:sz="6" w:space="0"/>
              <w:bottom w:val="single" w:color="auto" w:sz="6" w:space="0"/>
              <w:right w:val="single" w:color="auto" w:sz="4" w:space="0"/>
            </w:tcBorders>
            <w:shd w:val="clear" w:color="auto" w:fill="auto"/>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highlight w:val="yellow"/>
              </w:rPr>
            </w:pPr>
            <w:r>
              <w:rPr>
                <w:rFonts w:hint="default" w:hAnsi="宋体" w:eastAsia="宋体" w:cs="宋体"/>
                <w:sz w:val="24"/>
                <w:szCs w:val="24"/>
                <w:lang w:val="en-US" w:eastAsia="zh-CN"/>
              </w:rPr>
              <w:t>7.</w:t>
            </w:r>
            <w:r>
              <w:rPr>
                <w:rFonts w:hint="eastAsia" w:ascii="宋体" w:hAnsi="宋体" w:eastAsia="宋体" w:cs="宋体"/>
                <w:sz w:val="24"/>
                <w:szCs w:val="24"/>
                <w:lang w:eastAsia="zh-CN"/>
              </w:rPr>
              <w:t>特定条件：</w:t>
            </w:r>
            <w:r>
              <w:rPr>
                <w:rFonts w:hint="eastAsia" w:ascii="Times New Roman" w:hAnsi="Times New Roman" w:cs="Times New Roman"/>
                <w:sz w:val="24"/>
                <w:szCs w:val="24"/>
                <w:highlight w:val="yellow"/>
                <w:lang w:val="en-US" w:eastAsia="zh-CN"/>
              </w:rPr>
              <w:t>1.</w:t>
            </w:r>
            <w:r>
              <w:rPr>
                <w:rFonts w:hint="eastAsia" w:ascii="Times New Roman" w:hAnsi="Times New Roman" w:cs="Times New Roman"/>
                <w:sz w:val="24"/>
                <w:szCs w:val="24"/>
                <w:highlight w:val="yellow"/>
                <w:lang w:eastAsia="zh-CN"/>
              </w:rPr>
              <w:t>供应商应是国内注册的独立企业法人；供应商应具有</w:t>
            </w:r>
            <w:r>
              <w:rPr>
                <w:rFonts w:hint="eastAsia"/>
                <w:highlight w:val="yellow"/>
              </w:rPr>
              <w:t>建设行政主管部门核发的</w:t>
            </w:r>
            <w:r>
              <w:rPr>
                <w:rFonts w:hint="eastAsia" w:ascii="宋体" w:hAnsi="宋体"/>
                <w:b/>
                <w:highlight w:val="yellow"/>
                <w:u w:val="single"/>
              </w:rPr>
              <w:t>建筑工程施工总承包叁</w:t>
            </w:r>
            <w:r>
              <w:rPr>
                <w:rFonts w:hint="eastAsia" w:ascii="宋体" w:hAnsi="宋体"/>
                <w:b/>
                <w:bCs w:val="0"/>
                <w:highlight w:val="yellow"/>
                <w:u w:val="none"/>
              </w:rPr>
              <w:t>级</w:t>
            </w:r>
            <w:r>
              <w:rPr>
                <w:rFonts w:hint="eastAsia"/>
                <w:b/>
                <w:bCs w:val="0"/>
                <w:highlight w:val="yellow"/>
                <w:u w:val="none"/>
              </w:rPr>
              <w:t>及以上资质</w:t>
            </w:r>
            <w:r>
              <w:rPr>
                <w:rFonts w:hint="eastAsia" w:ascii="Times New Roman" w:hAnsi="Times New Roman" w:cs="Times New Roman"/>
                <w:sz w:val="24"/>
                <w:szCs w:val="24"/>
                <w:highlight w:val="yellow"/>
                <w:lang w:eastAsia="zh-CN"/>
              </w:rPr>
              <w:t>，安全生产许可证在有效期内；</w:t>
            </w:r>
            <w:r>
              <w:rPr>
                <w:rFonts w:hint="eastAsia"/>
                <w:highlight w:val="yellow"/>
              </w:rPr>
              <w:t>并在人员、设备、资金等方面具有相应的施工能力，其中，投标人拟派项目经理须具备</w:t>
            </w:r>
            <w:r>
              <w:rPr>
                <w:rFonts w:hint="eastAsia" w:ascii="宋体" w:hAnsi="宋体"/>
                <w:b/>
                <w:highlight w:val="yellow"/>
                <w:u w:val="single"/>
              </w:rPr>
              <w:t>建筑专业贰级及以上</w:t>
            </w:r>
            <w:r>
              <w:rPr>
                <w:rFonts w:hint="eastAsia"/>
                <w:highlight w:val="yellow"/>
              </w:rPr>
              <w:t>注册建造师执业资格，具备有效的安全生产考核合格证书</w:t>
            </w:r>
            <w:r>
              <w:rPr>
                <w:rFonts w:hint="default"/>
                <w:highlight w:val="yellow"/>
              </w:rPr>
              <w:t>（B</w:t>
            </w:r>
            <w:r>
              <w:rPr>
                <w:rFonts w:hint="eastAsia"/>
                <w:highlight w:val="yellow"/>
              </w:rPr>
              <w:t>证</w:t>
            </w:r>
            <w:r>
              <w:rPr>
                <w:rFonts w:hint="default"/>
                <w:highlight w:val="yellow"/>
              </w:rPr>
              <w:t>）</w:t>
            </w:r>
            <w:r>
              <w:rPr>
                <w:rFonts w:hint="eastAsia"/>
                <w:highlight w:val="yellow"/>
              </w:rPr>
              <w:t>，且未担任其他在施建设工程项目的项目经理。</w:t>
            </w:r>
            <w:r>
              <w:rPr>
                <w:rFonts w:hint="eastAsia"/>
                <w:bCs/>
                <w:highlight w:val="yellow"/>
              </w:rPr>
              <w:t>项目管理机构还应配备具有岗位证的施工员、质量员、安全员等相应专业管理人员</w:t>
            </w:r>
            <w:r>
              <w:rPr>
                <w:rFonts w:hint="eastAsia"/>
                <w:highlight w:val="yellow"/>
              </w:rPr>
              <w:t>，其中安全员还应具备安全生产考核合格证书（C证），项目技术负责人必须具有</w:t>
            </w:r>
            <w:r>
              <w:rPr>
                <w:rFonts w:hint="eastAsia" w:ascii="宋体" w:hAnsi="宋体"/>
                <w:b/>
                <w:highlight w:val="yellow"/>
                <w:u w:val="single"/>
              </w:rPr>
              <w:t>建筑</w:t>
            </w:r>
            <w:r>
              <w:rPr>
                <w:rFonts w:hint="eastAsia"/>
                <w:highlight w:val="yellow"/>
                <w:u w:val="single"/>
              </w:rPr>
              <w:t>相关专业</w:t>
            </w:r>
            <w:r>
              <w:rPr>
                <w:rFonts w:hint="eastAsia"/>
                <w:highlight w:val="yellow"/>
              </w:rPr>
              <w:t>中级工程师及以上职称或注册建造师执业资格</w:t>
            </w:r>
            <w:r>
              <w:rPr>
                <w:rFonts w:hint="eastAsia"/>
                <w:highlight w:val="yellow"/>
                <w:lang w:eastAsia="zh-CN"/>
              </w:rPr>
              <w:t>，提供所在单位为其缴纳的社保部门出具的社保记录证明及有效的劳动合同</w:t>
            </w:r>
            <w:r>
              <w:rPr>
                <w:rFonts w:hint="eastAsia"/>
                <w:highlight w:val="yellow"/>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szCs w:val="21"/>
                <w:highlight w:val="yellow"/>
              </w:rPr>
            </w:pPr>
            <w:r>
              <w:rPr>
                <w:rFonts w:hint="eastAsia" w:ascii="Times New Roman" w:hAnsi="Times New Roman" w:cs="Times New Roman"/>
                <w:sz w:val="24"/>
                <w:szCs w:val="24"/>
                <w:highlight w:val="yellow"/>
                <w:lang w:val="en-US" w:eastAsia="zh-CN"/>
              </w:rPr>
              <w:t>2.</w:t>
            </w:r>
            <w:r>
              <w:rPr>
                <w:rFonts w:hint="eastAsia"/>
                <w:szCs w:val="21"/>
                <w:highlight w:val="yellow"/>
              </w:rPr>
              <w:t>本次招标</w:t>
            </w:r>
            <w:r>
              <w:rPr>
                <w:rFonts w:hint="eastAsia"/>
                <w:szCs w:val="21"/>
                <w:highlight w:val="yellow"/>
                <w:u w:val="single"/>
              </w:rPr>
              <w:t xml:space="preserve"> 不接受 </w:t>
            </w:r>
            <w:r>
              <w:rPr>
                <w:rFonts w:hint="eastAsia"/>
                <w:szCs w:val="21"/>
                <w:highlight w:val="yellow"/>
              </w:rPr>
              <w:t>联合体投标。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Calibri" w:hAnsi="Calibri" w:cs="Calibri"/>
                <w:sz w:val="24"/>
                <w:szCs w:val="24"/>
                <w:lang w:val="en-US" w:eastAsia="zh-CN"/>
              </w:rPr>
            </w:pPr>
            <w:r>
              <w:rPr>
                <w:rFonts w:hint="eastAsia" w:cs="Times New Roman"/>
                <w:sz w:val="24"/>
                <w:szCs w:val="24"/>
                <w:lang w:val="en-US" w:eastAsia="zh-CN"/>
              </w:rPr>
              <w:t>3</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eastAsia="zh-CN"/>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tc>
      </w:tr>
      <w:tr>
        <w:tblPrEx>
          <w:tblCellMar>
            <w:top w:w="0" w:type="dxa"/>
            <w:left w:w="108" w:type="dxa"/>
            <w:bottom w:w="0" w:type="dxa"/>
            <w:right w:w="108" w:type="dxa"/>
          </w:tblCellMar>
        </w:tblPrEx>
        <w:trPr>
          <w:trHeight w:val="666" w:hRule="atLeast"/>
        </w:trPr>
        <w:tc>
          <w:tcPr>
            <w:tcW w:w="2794" w:type="dxa"/>
            <w:tcBorders>
              <w:top w:val="single" w:color="auto" w:sz="6" w:space="0"/>
              <w:left w:val="single" w:color="auto" w:sz="4" w:space="0"/>
              <w:bottom w:val="single" w:color="auto" w:sz="6" w:space="0"/>
              <w:right w:val="single" w:color="auto" w:sz="6" w:space="0"/>
            </w:tcBorders>
            <w:shd w:val="clear" w:color="auto" w:fill="auto"/>
            <w:vAlign w:val="top"/>
          </w:tcPr>
          <w:p>
            <w:pPr>
              <w:keepNext w:val="0"/>
              <w:keepLines w:val="0"/>
              <w:suppressLineNumbers w:val="0"/>
              <w:spacing w:before="0" w:beforeAutospacing="0" w:after="0" w:afterAutospacing="0"/>
              <w:ind w:left="0" w:right="0"/>
              <w:rPr>
                <w:rFonts w:hint="default" w:eastAsia="Times New Roman"/>
                <w:sz w:val="24"/>
                <w:szCs w:val="24"/>
              </w:rPr>
            </w:pPr>
            <w:r>
              <w:rPr>
                <w:rFonts w:hint="eastAsia"/>
                <w:b/>
                <w:sz w:val="24"/>
                <w:szCs w:val="24"/>
              </w:rPr>
              <w:t>供应商意见</w:t>
            </w:r>
          </w:p>
        </w:tc>
        <w:tc>
          <w:tcPr>
            <w:tcW w:w="7866" w:type="dxa"/>
            <w:tcBorders>
              <w:top w:val="single" w:color="auto" w:sz="6" w:space="0"/>
              <w:left w:val="single" w:color="auto" w:sz="6" w:space="0"/>
              <w:bottom w:val="single" w:color="auto" w:sz="6" w:space="0"/>
              <w:right w:val="single" w:color="auto" w:sz="4" w:space="0"/>
            </w:tcBorders>
            <w:shd w:val="clear" w:color="auto" w:fill="auto"/>
            <w:vAlign w:val="top"/>
          </w:tcPr>
          <w:p>
            <w:pPr>
              <w:keepNext w:val="0"/>
              <w:keepLines w:val="0"/>
              <w:suppressLineNumbers w:val="0"/>
              <w:spacing w:before="0" w:beforeAutospacing="0" w:after="0" w:afterAutospacing="0"/>
              <w:ind w:left="0" w:right="0"/>
              <w:rPr>
                <w:rFonts w:hint="eastAsia" w:ascii="Calibri" w:hAnsi="Calibri" w:cs="Calibri"/>
                <w:sz w:val="24"/>
                <w:szCs w:val="24"/>
                <w:lang w:val="en-US" w:eastAsia="zh-CN"/>
              </w:rPr>
            </w:pPr>
            <w:r>
              <w:rPr>
                <w:rFonts w:hint="eastAsia"/>
                <w:b/>
                <w:sz w:val="24"/>
                <w:szCs w:val="24"/>
              </w:rPr>
              <w:t>供应商可对本项目采购需求的公正性、专业性、合理性等提出自己正确的意见、建议等（可另页详细表述）。</w:t>
            </w:r>
          </w:p>
        </w:tc>
      </w:tr>
    </w:tbl>
    <w:p>
      <w:pPr>
        <w:widowControl/>
        <w:shd w:val="clear" w:color="auto" w:fill="FFFFFF"/>
        <w:spacing w:before="150" w:after="150" w:line="360" w:lineRule="atLeast"/>
        <w:ind w:left="150"/>
        <w:jc w:val="left"/>
        <w:rPr>
          <w:rFonts w:hint="eastAsia" w:cs="宋体"/>
          <w:b/>
          <w:color w:val="auto"/>
          <w:kern w:val="0"/>
          <w:sz w:val="24"/>
          <w:szCs w:val="24"/>
          <w:shd w:val="clear" w:color="auto" w:fill="FFFFFF"/>
        </w:rPr>
      </w:pPr>
      <w:r>
        <w:rPr>
          <w:rFonts w:hint="eastAsia" w:cs="宋体"/>
          <w:b/>
          <w:color w:val="auto"/>
          <w:kern w:val="0"/>
          <w:sz w:val="24"/>
          <w:szCs w:val="24"/>
          <w:shd w:val="clear" w:color="auto" w:fill="FFFFFF"/>
        </w:rPr>
        <w:t>注意事项：</w:t>
      </w:r>
    </w:p>
    <w:p>
      <w:pPr>
        <w:widowControl/>
        <w:shd w:val="clear" w:color="auto" w:fill="FFFFFF"/>
        <w:spacing w:before="150" w:after="150" w:line="360" w:lineRule="atLeast"/>
        <w:ind w:firstLine="241" w:firstLineChars="100"/>
        <w:jc w:val="left"/>
        <w:rPr>
          <w:rFonts w:ascii="微软雅黑" w:hAnsi="微软雅黑" w:eastAsia="微软雅黑" w:cs="宋体"/>
          <w:color w:val="auto"/>
          <w:kern w:val="0"/>
          <w:sz w:val="18"/>
          <w:szCs w:val="18"/>
          <w:shd w:val="clear" w:color="auto" w:fill="FFFFFF"/>
        </w:rPr>
      </w:pPr>
      <w:r>
        <w:rPr>
          <w:rFonts w:hint="eastAsia" w:ascii="宋体" w:hAnsi="宋体" w:cs="宋体"/>
          <w:b/>
          <w:bCs/>
          <w:color w:val="auto"/>
          <w:kern w:val="0"/>
          <w:sz w:val="24"/>
          <w:szCs w:val="24"/>
          <w:shd w:val="clear" w:color="auto" w:fill="FFFFFF"/>
        </w:rPr>
        <w:t>1.供应商必须严格按照公告的内容和要求，完整递交有关资料，</w:t>
      </w:r>
      <w:r>
        <w:rPr>
          <w:rFonts w:hint="eastAsia" w:cs="宋体"/>
          <w:b/>
          <w:color w:val="auto"/>
          <w:kern w:val="0"/>
          <w:sz w:val="24"/>
          <w:szCs w:val="24"/>
          <w:shd w:val="clear" w:color="auto" w:fill="FFFFFF"/>
        </w:rPr>
        <w:t>逾期递交的将予以拒收。</w:t>
      </w:r>
    </w:p>
    <w:p>
      <w:pPr>
        <w:widowControl/>
        <w:ind w:firstLine="241" w:firstLineChars="100"/>
        <w:jc w:val="left"/>
        <w:rPr>
          <w:rFonts w:ascii="Calibri" w:hAnsi="Calibri" w:cs="Calibri"/>
          <w:b/>
          <w:color w:val="auto"/>
        </w:rPr>
      </w:pPr>
      <w:r>
        <w:rPr>
          <w:rFonts w:hint="eastAsia" w:ascii="宋体" w:hAnsi="宋体" w:cs="宋体"/>
          <w:b/>
          <w:bCs/>
          <w:color w:val="auto"/>
          <w:kern w:val="0"/>
          <w:sz w:val="24"/>
          <w:szCs w:val="24"/>
        </w:rPr>
        <w:t>2.</w:t>
      </w:r>
      <w:r>
        <w:rPr>
          <w:rFonts w:hint="eastAsia" w:ascii="宋体" w:hAnsi="宋体" w:cs="宋体"/>
          <w:b/>
          <w:color w:val="auto"/>
          <w:kern w:val="0"/>
          <w:sz w:val="24"/>
          <w:szCs w:val="24"/>
        </w:rPr>
        <w:t xml:space="preserve">★供应商所递交的资料（全部盖有单位公章）必须为一般常用电脑办公软件能够读取的清晰、易于辨识的彩色电子扫描件、照片,并对其他递交资料内容的真实性、有效性及完整性负责，如提供文件资料有错漏、模糊不清、复印件的电子扫描件、照片、无法读取识别或弄虚作假等，一律属于无效文件。 </w:t>
      </w:r>
    </w:p>
    <w:p>
      <w:pPr>
        <w:widowControl/>
        <w:shd w:val="clear" w:color="auto" w:fill="FFFFFF"/>
        <w:spacing w:before="150" w:after="150" w:line="360" w:lineRule="atLeast"/>
        <w:ind w:firstLine="241" w:firstLineChars="100"/>
        <w:jc w:val="left"/>
      </w:pPr>
      <w:r>
        <w:rPr>
          <w:rFonts w:hint="eastAsia" w:ascii="宋体" w:hAnsi="宋体" w:cs="宋体"/>
          <w:b/>
          <w:bCs/>
          <w:color w:val="000000"/>
          <w:kern w:val="0"/>
          <w:sz w:val="24"/>
          <w:szCs w:val="24"/>
          <w:shd w:val="clear" w:color="auto" w:fill="FFFFFF"/>
        </w:rPr>
        <w:t>3.须在邮件（附件文件名应为公司全称）注明公司全称、项目名称及项目编号（不注明我单位将拒收报名邮件</w:t>
      </w:r>
      <w:r>
        <w:rPr>
          <w:rFonts w:hint="eastAsia" w:ascii="宋体" w:hAnsi="宋体" w:cs="宋体"/>
          <w:color w:val="000000"/>
          <w:kern w:val="0"/>
          <w:sz w:val="24"/>
          <w:szCs w:val="24"/>
          <w:shd w:val="clear" w:color="auto" w:fill="FFFFFF"/>
        </w:rPr>
        <w:t>）。</w:t>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方正姚体">
    <w:altName w:val="宋体"/>
    <w:panose1 w:val="02010601030101010101"/>
    <w:charset w:val="86"/>
    <w:family w:val="auto"/>
    <w:pitch w:val="default"/>
    <w:sig w:usb0="00000000" w:usb1="00000000" w:usb2="00000010" w:usb3="00000000" w:csb0="00040000" w:csb1="00000000"/>
  </w:font>
  <w:font w:name="微软雅黑">
    <w:panose1 w:val="020B0503020204020204"/>
    <w:charset w:val="86"/>
    <w:family w:val="decorative"/>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153"/>
        <w:tab w:val="right" w:pos="8306"/>
      </w:tabs>
      <w:jc w:val="center"/>
    </w:pPr>
    <w:r>
      <w:fldChar w:fldCharType="begin"/>
    </w:r>
    <w:r>
      <w:instrText xml:space="preserve">PAGE   \* MERGEFORMAT</w:instrText>
    </w:r>
    <w:r>
      <w:fldChar w:fldCharType="separate"/>
    </w:r>
    <w:r>
      <w:rPr>
        <w:lang w:val="zh-CN"/>
      </w:rPr>
      <w:t>1</w:t>
    </w:r>
    <w:r>
      <w:rPr>
        <w:lang w:val="zh-CN"/>
      </w:rPr>
      <w:fldChar w:fldCharType="end"/>
    </w:r>
  </w:p>
  <w:p>
    <w:pPr>
      <w:pStyle w:val="6"/>
      <w:spacing w:line="14" w:lineRule="auto"/>
      <w:jc w:val="center"/>
      <w:rPr>
        <w:sz w:val="20"/>
        <w:szCs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balanceSingleByteDoubleByteWidth/>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277"/>
    <w:rsid w:val="0013004F"/>
    <w:rsid w:val="00605F71"/>
    <w:rsid w:val="00D22277"/>
    <w:rsid w:val="03661687"/>
    <w:rsid w:val="03F6141A"/>
    <w:rsid w:val="04335B5E"/>
    <w:rsid w:val="05317E8B"/>
    <w:rsid w:val="0A4C5BE5"/>
    <w:rsid w:val="0AAE3BB6"/>
    <w:rsid w:val="0BFB6712"/>
    <w:rsid w:val="0DDA0BC8"/>
    <w:rsid w:val="108C0604"/>
    <w:rsid w:val="1236776B"/>
    <w:rsid w:val="146E11C5"/>
    <w:rsid w:val="1488140B"/>
    <w:rsid w:val="18A9017A"/>
    <w:rsid w:val="1B241D7C"/>
    <w:rsid w:val="1C97762D"/>
    <w:rsid w:val="1D4B232C"/>
    <w:rsid w:val="1EED5566"/>
    <w:rsid w:val="21C11563"/>
    <w:rsid w:val="24497C7F"/>
    <w:rsid w:val="250232E9"/>
    <w:rsid w:val="25EB094A"/>
    <w:rsid w:val="26353ABE"/>
    <w:rsid w:val="26DC2166"/>
    <w:rsid w:val="273520E4"/>
    <w:rsid w:val="2B5A4511"/>
    <w:rsid w:val="2B8E262F"/>
    <w:rsid w:val="2DD63A46"/>
    <w:rsid w:val="30860974"/>
    <w:rsid w:val="349918C8"/>
    <w:rsid w:val="36CC0007"/>
    <w:rsid w:val="373216E5"/>
    <w:rsid w:val="375C2CDF"/>
    <w:rsid w:val="38E91620"/>
    <w:rsid w:val="38EA3D48"/>
    <w:rsid w:val="3AC50471"/>
    <w:rsid w:val="3B345840"/>
    <w:rsid w:val="3DBE13BB"/>
    <w:rsid w:val="3E827296"/>
    <w:rsid w:val="3F66280C"/>
    <w:rsid w:val="40A5701D"/>
    <w:rsid w:val="40DD6062"/>
    <w:rsid w:val="43D7502A"/>
    <w:rsid w:val="44314AE0"/>
    <w:rsid w:val="449D0D71"/>
    <w:rsid w:val="453F156F"/>
    <w:rsid w:val="4A053D02"/>
    <w:rsid w:val="4A1A65A1"/>
    <w:rsid w:val="4B5C4F8C"/>
    <w:rsid w:val="4C465882"/>
    <w:rsid w:val="4D5D05DB"/>
    <w:rsid w:val="4DF70BB4"/>
    <w:rsid w:val="4EF7071D"/>
    <w:rsid w:val="51156657"/>
    <w:rsid w:val="5157655C"/>
    <w:rsid w:val="520520E8"/>
    <w:rsid w:val="5A3B5C81"/>
    <w:rsid w:val="5F2B1033"/>
    <w:rsid w:val="5F525E43"/>
    <w:rsid w:val="61A51599"/>
    <w:rsid w:val="66C53525"/>
    <w:rsid w:val="6B7F088A"/>
    <w:rsid w:val="6B822971"/>
    <w:rsid w:val="6CBE7624"/>
    <w:rsid w:val="6DF67A86"/>
    <w:rsid w:val="732C0F1E"/>
    <w:rsid w:val="78B541F0"/>
    <w:rsid w:val="7AC90EC0"/>
    <w:rsid w:val="7AF3642B"/>
    <w:rsid w:val="7BC723CD"/>
    <w:rsid w:val="7C072467"/>
    <w:rsid w:val="7C26318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6"/>
    <w:qFormat/>
    <w:uiPriority w:val="0"/>
    <w:pPr>
      <w:keepNext/>
      <w:keepLines/>
      <w:spacing w:before="340" w:after="330" w:line="578" w:lineRule="auto"/>
      <w:outlineLvl w:val="0"/>
    </w:pPr>
    <w:rPr>
      <w:b/>
      <w:kern w:val="44"/>
      <w:sz w:val="44"/>
      <w:szCs w:val="44"/>
    </w:rPr>
  </w:style>
  <w:style w:type="paragraph" w:styleId="4">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rPr>
  </w:style>
  <w:style w:type="paragraph" w:styleId="5">
    <w:name w:val="Normal Indent"/>
    <w:basedOn w:val="1"/>
    <w:link w:val="19"/>
    <w:qFormat/>
    <w:uiPriority w:val="0"/>
    <w:pPr>
      <w:ind w:firstLine="420"/>
    </w:pPr>
    <w:rPr>
      <w:szCs w:val="21"/>
    </w:rPr>
  </w:style>
  <w:style w:type="paragraph" w:styleId="6">
    <w:name w:val="Body Text"/>
    <w:basedOn w:val="1"/>
    <w:link w:val="18"/>
    <w:qFormat/>
    <w:uiPriority w:val="0"/>
    <w:pPr>
      <w:spacing w:line="420" w:lineRule="auto"/>
    </w:pPr>
    <w:rPr>
      <w:kern w:val="0"/>
      <w:sz w:val="24"/>
      <w:szCs w:val="24"/>
    </w:rPr>
  </w:style>
  <w:style w:type="paragraph" w:styleId="7">
    <w:name w:val="Plain Text"/>
    <w:basedOn w:val="1"/>
    <w:qFormat/>
    <w:uiPriority w:val="0"/>
    <w:rPr>
      <w:rFonts w:ascii="宋体" w:hAnsi="Courier New" w:eastAsia="仿宋_GB2312"/>
      <w:sz w:val="32"/>
    </w:rPr>
  </w:style>
  <w:style w:type="paragraph" w:styleId="8">
    <w:name w:val="Balloon Text"/>
    <w:basedOn w:val="1"/>
    <w:link w:val="21"/>
    <w:qFormat/>
    <w:uiPriority w:val="0"/>
    <w:rPr>
      <w:sz w:val="18"/>
      <w:szCs w:val="18"/>
    </w:rPr>
  </w:style>
  <w:style w:type="paragraph" w:styleId="9">
    <w:name w:val="footer"/>
    <w:basedOn w:val="1"/>
    <w:link w:val="17"/>
    <w:qFormat/>
    <w:uiPriority w:val="0"/>
    <w:pPr>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2">
    <w:name w:val="Table Grid"/>
    <w:basedOn w:val="11"/>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color w:val="2A2A2A"/>
      <w:sz w:val="18"/>
      <w:szCs w:val="18"/>
      <w:u w:val="none"/>
    </w:rPr>
  </w:style>
  <w:style w:type="character" w:styleId="15">
    <w:name w:val="Hyperlink"/>
    <w:basedOn w:val="13"/>
    <w:qFormat/>
    <w:uiPriority w:val="0"/>
    <w:rPr>
      <w:color w:val="0000FF"/>
      <w:u w:val="single"/>
    </w:rPr>
  </w:style>
  <w:style w:type="character" w:customStyle="1" w:styleId="16">
    <w:name w:val="标题 1 Char"/>
    <w:link w:val="3"/>
    <w:qFormat/>
    <w:uiPriority w:val="0"/>
    <w:rPr>
      <w:rFonts w:hint="default" w:ascii="Calibri" w:hAnsi="Calibri" w:eastAsia="宋体" w:cs="Times New Roman"/>
      <w:b/>
      <w:kern w:val="44"/>
      <w:sz w:val="44"/>
      <w:szCs w:val="44"/>
    </w:rPr>
  </w:style>
  <w:style w:type="character" w:customStyle="1" w:styleId="17">
    <w:name w:val="页脚 Char"/>
    <w:link w:val="9"/>
    <w:qFormat/>
    <w:uiPriority w:val="0"/>
    <w:rPr>
      <w:rFonts w:hint="default" w:ascii="Calibri" w:hAnsi="Calibri" w:eastAsia="宋体" w:cs="Times New Roman"/>
      <w:sz w:val="18"/>
      <w:szCs w:val="18"/>
    </w:rPr>
  </w:style>
  <w:style w:type="character" w:customStyle="1" w:styleId="18">
    <w:name w:val="正文文本 Char"/>
    <w:link w:val="6"/>
    <w:qFormat/>
    <w:uiPriority w:val="0"/>
    <w:rPr>
      <w:rFonts w:hint="default" w:ascii="Times New Roman" w:hAnsi="Times New Roman" w:eastAsia="宋体" w:cs="Times New Roman"/>
      <w:kern w:val="0"/>
      <w:sz w:val="24"/>
      <w:szCs w:val="24"/>
    </w:rPr>
  </w:style>
  <w:style w:type="character" w:customStyle="1" w:styleId="19">
    <w:name w:val="正文缩进 Char"/>
    <w:link w:val="5"/>
    <w:qFormat/>
    <w:locked/>
    <w:uiPriority w:val="0"/>
    <w:rPr>
      <w:rFonts w:hint="default" w:ascii="Calibri" w:hAnsi="Calibri" w:eastAsia="宋体" w:cs="Times New Roman"/>
      <w:szCs w:val="21"/>
    </w:rPr>
  </w:style>
  <w:style w:type="paragraph" w:customStyle="1" w:styleId="20">
    <w:name w:val="List Paragraph"/>
    <w:basedOn w:val="1"/>
    <w:qFormat/>
    <w:uiPriority w:val="0"/>
    <w:pPr>
      <w:ind w:firstLine="200" w:firstLineChars="200"/>
    </w:pPr>
  </w:style>
  <w:style w:type="character" w:customStyle="1" w:styleId="21">
    <w:name w:val="批注框文本 Char"/>
    <w:link w:val="8"/>
    <w:qFormat/>
    <w:uiPriority w:val="0"/>
    <w:rPr>
      <w:sz w:val="18"/>
      <w:szCs w:val="18"/>
    </w:rPr>
  </w:style>
  <w:style w:type="table" w:customStyle="1" w:styleId="22">
    <w:name w:val="网格型1"/>
    <w:basedOn w:val="11"/>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1202</Words>
  <Characters>6858</Characters>
  <Lines>57</Lines>
  <Paragraphs>16</Paragraphs>
  <TotalTime>2</TotalTime>
  <ScaleCrop>false</ScaleCrop>
  <LinksUpToDate>false</LinksUpToDate>
  <CharactersWithSpaces>8044</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2018-11-12T01:48:00Z</dcterms:created>
  <dc:creator>lc</dc:creator>
  <cp:lastModifiedBy>KY</cp:lastModifiedBy>
  <cp:lastPrinted>2020-10-27T05:16:00Z</cp:lastPrinted>
  <dcterms:modified xsi:type="dcterms:W3CDTF">2020-10-29T02:06:54Z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