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r>
        <w:rPr>
          <w:sz w:val="24"/>
          <w:szCs w:val="24"/>
        </w:rPr>
        <w:t>附件</w:t>
      </w:r>
      <w:r>
        <w:rPr>
          <w:rFonts w:hint="eastAsia"/>
          <w:sz w:val="24"/>
          <w:szCs w:val="24"/>
        </w:rPr>
        <w:t>一</w:t>
      </w:r>
      <w:r>
        <w:rPr>
          <w:sz w:val="24"/>
          <w:szCs w:val="24"/>
        </w:rPr>
        <w:t>：项目采购需求：</w:t>
      </w:r>
    </w:p>
    <w:p>
      <w:pPr>
        <w:numPr>
          <w:ilvl w:val="0"/>
          <w:numId w:val="0"/>
        </w:numPr>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hr-HR" w:eastAsia="zh-CN" w:bidi="ar-EG"/>
        </w:rPr>
        <w:t>第三章</w:t>
      </w:r>
      <w:r>
        <w:rPr>
          <w:rFonts w:hint="eastAsia" w:ascii="Times New Roman" w:hAnsi="Times New Roman" w:cs="Times New Roman"/>
          <w:b/>
          <w:sz w:val="36"/>
          <w:szCs w:val="36"/>
          <w:lang w:val="en-US" w:eastAsia="zh-CN" w:bidi="ar-EG"/>
        </w:rPr>
        <w:t xml:space="preserve">  </w:t>
      </w:r>
      <w:r>
        <w:rPr>
          <w:rFonts w:ascii="Times New Roman" w:hAnsi="Times New Roman" w:cs="Times New Roman"/>
          <w:b/>
          <w:sz w:val="36"/>
          <w:szCs w:val="36"/>
          <w:lang w:val="hr-HR" w:bidi="ar-EG"/>
        </w:rPr>
        <w:t>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要求</w:t>
      </w:r>
    </w:p>
    <w:p>
      <w:pPr>
        <w:pStyle w:val="22"/>
        <w:numPr>
          <w:ilvl w:val="0"/>
          <w:numId w:val="1"/>
        </w:numPr>
        <w:shd w:val="clear" w:color="auto" w:fill="FFFFFF"/>
        <w:spacing w:line="560" w:lineRule="exact"/>
        <w:ind w:firstLineChars="0"/>
        <w:rPr>
          <w:rFonts w:ascii="黑体" w:eastAsia="黑体"/>
          <w:sz w:val="28"/>
          <w:szCs w:val="28"/>
        </w:rPr>
      </w:pPr>
      <w:r>
        <w:rPr>
          <w:rFonts w:hint="eastAsia" w:ascii="黑体" w:eastAsia="黑体"/>
          <w:sz w:val="28"/>
          <w:szCs w:val="28"/>
        </w:rPr>
        <w:t>采购单位：</w:t>
      </w:r>
      <w:r>
        <w:rPr>
          <w:rFonts w:hint="eastAsia" w:ascii="黑体" w:eastAsia="黑体"/>
          <w:sz w:val="28"/>
          <w:szCs w:val="28"/>
          <w:lang w:eastAsia="zh-CN"/>
        </w:rPr>
        <w:t>国家税务总局阳新县税务局</w:t>
      </w:r>
    </w:p>
    <w:p>
      <w:pPr>
        <w:pStyle w:val="22"/>
        <w:numPr>
          <w:ilvl w:val="0"/>
          <w:numId w:val="1"/>
        </w:numPr>
        <w:shd w:val="clear" w:color="auto" w:fill="FFFFFF"/>
        <w:spacing w:line="560" w:lineRule="exact"/>
        <w:ind w:firstLineChars="0"/>
        <w:rPr>
          <w:rFonts w:ascii="仿宋_GB2312" w:eastAsia="仿宋_GB2312"/>
          <w:sz w:val="28"/>
          <w:szCs w:val="28"/>
        </w:rPr>
      </w:pPr>
      <w:r>
        <w:rPr>
          <w:rFonts w:hint="eastAsia" w:ascii="黑体" w:eastAsia="黑体"/>
          <w:sz w:val="28"/>
          <w:szCs w:val="28"/>
        </w:rPr>
        <w:t>联 系 人</w:t>
      </w:r>
      <w:r>
        <w:rPr>
          <w:rFonts w:hint="eastAsia" w:ascii="仿宋_GB2312" w:eastAsia="仿宋_GB2312"/>
          <w:sz w:val="28"/>
          <w:szCs w:val="28"/>
        </w:rPr>
        <w:t>：</w:t>
      </w:r>
      <w:r>
        <w:rPr>
          <w:rFonts w:hint="eastAsia" w:ascii="仿宋_GB2312" w:eastAsia="仿宋_GB2312"/>
          <w:sz w:val="28"/>
          <w:szCs w:val="28"/>
          <w:lang w:eastAsia="zh-CN"/>
        </w:rPr>
        <w:t>周全</w:t>
      </w:r>
      <w:r>
        <w:rPr>
          <w:rFonts w:hint="eastAsia" w:ascii="仿宋_GB2312" w:eastAsia="仿宋_GB2312"/>
          <w:sz w:val="28"/>
          <w:szCs w:val="28"/>
          <w:lang w:val="en-US" w:eastAsia="zh-CN"/>
        </w:rPr>
        <w:t xml:space="preserve"> </w:t>
      </w:r>
    </w:p>
    <w:p>
      <w:pPr>
        <w:pStyle w:val="22"/>
        <w:numPr>
          <w:ilvl w:val="0"/>
          <w:numId w:val="1"/>
        </w:numPr>
        <w:shd w:val="clear" w:color="auto" w:fill="FFFFFF"/>
        <w:spacing w:line="560" w:lineRule="exact"/>
        <w:ind w:firstLineChars="0"/>
        <w:rPr>
          <w:rFonts w:ascii="仿宋_GB2312" w:eastAsia="黑体"/>
          <w:sz w:val="28"/>
          <w:szCs w:val="28"/>
        </w:rPr>
      </w:pPr>
      <w:r>
        <w:rPr>
          <w:rFonts w:hint="eastAsia" w:ascii="黑体" w:eastAsia="黑体"/>
          <w:sz w:val="28"/>
          <w:szCs w:val="28"/>
        </w:rPr>
        <w:t>联系电话：</w:t>
      </w:r>
      <w:r>
        <w:rPr>
          <w:rFonts w:hint="eastAsia" w:ascii="宋体" w:hAnsi="宋体"/>
          <w:color w:val="000000"/>
          <w:sz w:val="24"/>
          <w:lang w:val="en-US" w:eastAsia="zh-CN"/>
        </w:rPr>
        <w:t>15997140877</w:t>
      </w:r>
      <w:r>
        <w:rPr>
          <w:rFonts w:hint="eastAsia" w:ascii="黑体" w:eastAsia="黑体"/>
          <w:sz w:val="28"/>
          <w:szCs w:val="28"/>
          <w:lang w:val="en-US" w:eastAsia="zh-CN"/>
        </w:rPr>
        <w:t xml:space="preserve"> </w:t>
      </w:r>
    </w:p>
    <w:p>
      <w:pPr>
        <w:pStyle w:val="22"/>
        <w:numPr>
          <w:ilvl w:val="0"/>
          <w:numId w:val="1"/>
        </w:numPr>
        <w:shd w:val="clear" w:color="auto" w:fill="FFFFFF"/>
        <w:spacing w:line="560" w:lineRule="exact"/>
        <w:ind w:firstLineChars="0"/>
        <w:rPr>
          <w:rFonts w:ascii="仿宋_GB2312" w:eastAsia="仿宋_GB2312"/>
          <w:sz w:val="28"/>
          <w:szCs w:val="28"/>
        </w:rPr>
      </w:pPr>
      <w:r>
        <w:rPr>
          <w:rFonts w:hint="eastAsia" w:ascii="黑体" w:eastAsia="黑体"/>
          <w:sz w:val="28"/>
          <w:szCs w:val="28"/>
        </w:rPr>
        <w:t>采购</w:t>
      </w:r>
      <w:r>
        <w:rPr>
          <w:rFonts w:ascii="黑体" w:eastAsia="黑体"/>
          <w:sz w:val="28"/>
          <w:szCs w:val="28"/>
        </w:rPr>
        <w:t>方式：</w:t>
      </w:r>
      <w:r>
        <w:rPr>
          <w:rFonts w:hint="eastAsia" w:ascii="仿宋_GB2312" w:eastAsia="仿宋_GB2312"/>
          <w:sz w:val="28"/>
          <w:szCs w:val="28"/>
        </w:rPr>
        <w:t>竞争性磋商</w:t>
      </w:r>
    </w:p>
    <w:p>
      <w:pPr>
        <w:pStyle w:val="28"/>
        <w:numPr>
          <w:ilvl w:val="0"/>
          <w:numId w:val="1"/>
        </w:numPr>
        <w:ind w:firstLineChars="0"/>
        <w:rPr>
          <w:rFonts w:ascii="黑体" w:hAnsi="Calibri" w:eastAsia="黑体" w:cs="黑体"/>
          <w:color w:val="auto"/>
          <w:sz w:val="28"/>
          <w:szCs w:val="28"/>
        </w:rPr>
      </w:pPr>
      <w:r>
        <w:rPr>
          <w:rFonts w:hint="eastAsia" w:ascii="黑体" w:hAnsi="Calibri" w:eastAsia="黑体" w:cs="黑体"/>
          <w:color w:val="auto"/>
          <w:sz w:val="28"/>
          <w:szCs w:val="28"/>
        </w:rPr>
        <w:t>合同草案：</w:t>
      </w:r>
    </w:p>
    <w:p>
      <w:pPr>
        <w:pStyle w:val="28"/>
        <w:ind w:left="1140" w:firstLine="0" w:firstLineChars="0"/>
        <w:rPr>
          <w:rFonts w:ascii="仿宋_GB2312" w:hAnsi="Calibri" w:eastAsia="仿宋_GB2312" w:cs="黑体"/>
          <w:color w:val="auto"/>
          <w:sz w:val="28"/>
          <w:szCs w:val="28"/>
        </w:rPr>
      </w:pPr>
      <w:r>
        <w:rPr>
          <w:rFonts w:hint="eastAsia" w:ascii="黑体" w:hAnsi="Calibri" w:eastAsia="黑体" w:cs="黑体"/>
          <w:color w:val="auto"/>
          <w:sz w:val="28"/>
          <w:szCs w:val="28"/>
        </w:rPr>
        <w:t>1）</w:t>
      </w:r>
      <w:r>
        <w:rPr>
          <w:rFonts w:hint="eastAsia" w:ascii="仿宋_GB2312" w:hAnsi="Calibri" w:eastAsia="仿宋_GB2312" w:cs="黑体"/>
          <w:color w:val="auto"/>
          <w:sz w:val="28"/>
          <w:szCs w:val="28"/>
        </w:rPr>
        <w:t>工期：计划工期</w:t>
      </w:r>
      <w:r>
        <w:rPr>
          <w:rFonts w:hint="eastAsia" w:ascii="仿宋_GB2312" w:hAnsi="Calibri" w:eastAsia="仿宋_GB2312" w:cs="黑体"/>
          <w:color w:val="auto"/>
          <w:sz w:val="28"/>
          <w:szCs w:val="28"/>
          <w:lang w:val="en-US" w:eastAsia="zh-CN"/>
        </w:rPr>
        <w:t>60</w:t>
      </w:r>
      <w:r>
        <w:rPr>
          <w:rFonts w:hint="eastAsia" w:ascii="仿宋_GB2312" w:hAnsi="Calibri" w:eastAsia="仿宋_GB2312" w:cs="黑体"/>
          <w:color w:val="auto"/>
          <w:sz w:val="28"/>
          <w:szCs w:val="28"/>
        </w:rPr>
        <w:t>日历天；开工时间以建设单位开工令为准。</w:t>
      </w:r>
    </w:p>
    <w:p>
      <w:pPr>
        <w:pStyle w:val="28"/>
        <w:ind w:left="1140" w:firstLine="0" w:firstLineChars="0"/>
        <w:rPr>
          <w:rFonts w:ascii="仿宋_GB2312" w:hAnsi="Calibri" w:eastAsia="仿宋_GB2312" w:cs="黑体"/>
          <w:color w:val="auto"/>
          <w:sz w:val="28"/>
          <w:szCs w:val="28"/>
        </w:rPr>
      </w:pPr>
      <w:r>
        <w:rPr>
          <w:rFonts w:hint="eastAsia" w:ascii="仿宋_GB2312" w:hAnsi="Calibri" w:eastAsia="仿宋_GB2312" w:cs="黑体"/>
          <w:color w:val="auto"/>
          <w:sz w:val="28"/>
          <w:szCs w:val="28"/>
          <w:lang w:val="en-US" w:eastAsia="zh-CN"/>
        </w:rPr>
        <w:t>2</w:t>
      </w:r>
      <w:r>
        <w:rPr>
          <w:rFonts w:hint="eastAsia" w:ascii="仿宋_GB2312" w:hAnsi="Calibri" w:eastAsia="仿宋_GB2312" w:cs="黑体"/>
          <w:color w:val="auto"/>
          <w:sz w:val="28"/>
          <w:szCs w:val="28"/>
        </w:rPr>
        <w:t>）付款方式：</w:t>
      </w:r>
      <w:r>
        <w:rPr>
          <w:rFonts w:hint="eastAsia" w:ascii="仿宋_GB2312" w:hAnsi="Calibri" w:eastAsia="仿宋_GB2312" w:cs="黑体"/>
          <w:color w:val="auto"/>
          <w:sz w:val="28"/>
          <w:szCs w:val="28"/>
          <w:lang w:eastAsia="zh-CN"/>
        </w:rPr>
        <w:t>具体以签订合同为准</w:t>
      </w:r>
      <w:r>
        <w:rPr>
          <w:rFonts w:hint="eastAsia" w:ascii="仿宋_GB2312" w:hAnsi="Calibri" w:eastAsia="仿宋_GB2312" w:cs="黑体"/>
          <w:color w:val="auto"/>
          <w:sz w:val="28"/>
          <w:szCs w:val="28"/>
        </w:rPr>
        <w:t>。</w:t>
      </w:r>
    </w:p>
    <w:p>
      <w:pPr>
        <w:pStyle w:val="28"/>
        <w:ind w:left="1140" w:firstLine="0" w:firstLineChars="0"/>
        <w:rPr>
          <w:rFonts w:hint="eastAsia" w:ascii="仿宋_GB2312" w:hAnsi="Calibri" w:eastAsia="仿宋_GB2312" w:cs="黑体"/>
          <w:color w:val="auto"/>
          <w:sz w:val="28"/>
          <w:szCs w:val="28"/>
          <w:lang w:eastAsia="zh-CN"/>
        </w:rPr>
      </w:pPr>
      <w:r>
        <w:rPr>
          <w:rFonts w:hint="eastAsia" w:ascii="仿宋_GB2312" w:hAnsi="Calibri" w:eastAsia="仿宋_GB2312" w:cs="黑体"/>
          <w:color w:val="auto"/>
          <w:sz w:val="28"/>
          <w:szCs w:val="28"/>
          <w:lang w:eastAsia="zh-CN"/>
        </w:rPr>
        <w:t>招标工程量清单</w:t>
      </w:r>
    </w:p>
    <w:p>
      <w:pPr>
        <w:pStyle w:val="28"/>
        <w:ind w:left="1140" w:firstLine="0" w:firstLineChars="0"/>
        <w:jc w:val="center"/>
        <w:rPr>
          <w:rFonts w:hint="eastAsia" w:ascii="黑体" w:hAnsi="Calibri" w:eastAsia="黑体" w:cs="黑体"/>
          <w:color w:val="auto"/>
          <w:sz w:val="28"/>
          <w:szCs w:val="28"/>
          <w:lang w:eastAsia="zh-CN"/>
        </w:rPr>
        <w:sectPr>
          <w:pgSz w:w="11906" w:h="16838"/>
          <w:pgMar w:top="1440" w:right="1800" w:bottom="1440" w:left="1800" w:header="851" w:footer="992" w:gutter="0"/>
          <w:cols w:space="720" w:num="1"/>
          <w:docGrid w:type="lines" w:linePitch="312" w:charSpace="0"/>
        </w:sectPr>
      </w:pPr>
      <w:r>
        <w:rPr>
          <w:rFonts w:hint="eastAsia" w:ascii="黑体" w:hAnsi="Calibri" w:eastAsia="黑体" w:cs="黑体"/>
          <w:color w:val="auto"/>
          <w:sz w:val="28"/>
          <w:szCs w:val="28"/>
          <w:lang w:eastAsia="zh-CN"/>
        </w:rPr>
        <w:pict>
          <v:shape id="_x0000_s2050" o:spid="_x0000_s2050" o:spt="75" type="#_x0000_t75" style="position:absolute;left:0pt;margin-left:32.15pt;margin-top:36.5pt;height:42.75pt;width:306pt;mso-wrap-distance-bottom:0pt;mso-wrap-distance-left:9pt;mso-wrap-distance-right:9pt;mso-wrap-distance-top:0pt;z-index:251658240;mso-width-relative:page;mso-height-relative:page;" o:ole="t" filled="f" o:preferrelative="t" stroked="f" coordsize="21600,21600">
            <v:path/>
            <v:fill on="f" focussize="0,0"/>
            <v:stroke on="f"/>
            <v:imagedata r:id="rId6" o:title=""/>
            <o:lock v:ext="edit" aspectratio="t"/>
            <w10:wrap type="square"/>
          </v:shape>
          <o:OLEObject Type="Embed" ProgID="Package" ShapeID="_x0000_s2050" DrawAspect="Content" ObjectID="_1468075725" r:id="rId5">
            <o:LockedField>false</o:LockedField>
          </o:OLEObject>
        </w:pict>
      </w:r>
    </w:p>
    <w:p>
      <w:pPr>
        <w:pStyle w:val="2"/>
      </w:pP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p>
      <w:pPr>
        <w:pStyle w:val="4"/>
        <w:spacing w:before="0" w:after="0" w:line="360" w:lineRule="auto"/>
        <w:jc w:val="center"/>
        <w:rPr>
          <w:rFonts w:hint="eastAsia" w:ascii="宋体" w:hAnsi="宋体" w:eastAsia="宋体"/>
        </w:rPr>
      </w:pPr>
      <w:bookmarkStart w:id="0" w:name="_Toc425944899"/>
      <w:r>
        <w:rPr>
          <w:rFonts w:hint="eastAsia" w:ascii="宋体" w:hAnsi="宋体" w:eastAsia="宋体"/>
        </w:rPr>
        <w:t>评审方法前附表</w:t>
      </w:r>
      <w:bookmarkEnd w:id="0"/>
    </w:p>
    <w:tbl>
      <w:tblPr>
        <w:tblStyle w:val="12"/>
        <w:tblW w:w="90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1339"/>
        <w:gridCol w:w="585"/>
        <w:gridCol w:w="6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75" w:type="dxa"/>
            <w:noWrap w:val="0"/>
            <w:vAlign w:val="top"/>
          </w:tcPr>
          <w:p>
            <w:pPr>
              <w:jc w:val="center"/>
              <w:rPr>
                <w:rFonts w:hint="eastAsia" w:ascii="宋体" w:hAnsi="宋体" w:eastAsia="宋体" w:cs="宋体"/>
                <w:b/>
                <w:sz w:val="24"/>
                <w:szCs w:val="20"/>
              </w:rPr>
            </w:pPr>
          </w:p>
        </w:tc>
        <w:tc>
          <w:tcPr>
            <w:tcW w:w="1339" w:type="dxa"/>
            <w:noWrap w:val="0"/>
            <w:vAlign w:val="center"/>
          </w:tcPr>
          <w:p>
            <w:pPr>
              <w:spacing w:line="360" w:lineRule="auto"/>
              <w:jc w:val="center"/>
              <w:rPr>
                <w:rFonts w:hint="eastAsia" w:ascii="宋体" w:hAnsi="宋体" w:eastAsia="宋体" w:cs="宋体"/>
                <w:b/>
                <w:color w:val="000000"/>
                <w:sz w:val="20"/>
                <w:szCs w:val="18"/>
              </w:rPr>
            </w:pPr>
            <w:r>
              <w:rPr>
                <w:rFonts w:hint="eastAsia" w:ascii="宋体" w:hAnsi="宋体" w:eastAsia="宋体" w:cs="宋体"/>
                <w:b/>
                <w:color w:val="000000"/>
                <w:sz w:val="20"/>
                <w:szCs w:val="18"/>
              </w:rPr>
              <w:t>评审因素</w:t>
            </w:r>
          </w:p>
        </w:tc>
        <w:tc>
          <w:tcPr>
            <w:tcW w:w="585" w:type="dxa"/>
            <w:noWrap w:val="0"/>
            <w:vAlign w:val="center"/>
          </w:tcPr>
          <w:p>
            <w:pPr>
              <w:spacing w:line="360" w:lineRule="auto"/>
              <w:ind w:left="-73" w:leftChars="-35" w:right="-80" w:rightChars="-38"/>
              <w:jc w:val="center"/>
              <w:rPr>
                <w:rFonts w:hint="eastAsia" w:ascii="宋体" w:hAnsi="宋体" w:eastAsia="宋体" w:cs="宋体"/>
                <w:b/>
                <w:color w:val="000000"/>
                <w:sz w:val="20"/>
                <w:szCs w:val="18"/>
              </w:rPr>
            </w:pPr>
            <w:r>
              <w:rPr>
                <w:rFonts w:hint="eastAsia" w:ascii="宋体" w:hAnsi="宋体" w:eastAsia="宋体" w:cs="宋体"/>
                <w:b/>
                <w:color w:val="000000"/>
                <w:sz w:val="20"/>
                <w:szCs w:val="18"/>
              </w:rPr>
              <w:t>分值</w:t>
            </w:r>
          </w:p>
        </w:tc>
        <w:tc>
          <w:tcPr>
            <w:tcW w:w="6210" w:type="dxa"/>
            <w:noWrap w:val="0"/>
            <w:vAlign w:val="center"/>
          </w:tcPr>
          <w:p>
            <w:pPr>
              <w:spacing w:line="360" w:lineRule="auto"/>
              <w:jc w:val="center"/>
              <w:rPr>
                <w:rFonts w:hint="eastAsia" w:ascii="宋体" w:hAnsi="宋体" w:eastAsia="宋体" w:cs="宋体"/>
                <w:b/>
                <w:color w:val="000000"/>
                <w:sz w:val="20"/>
                <w:szCs w:val="18"/>
              </w:rPr>
            </w:pPr>
            <w:r>
              <w:rPr>
                <w:rFonts w:hint="eastAsia" w:ascii="宋体" w:hAnsi="宋体" w:eastAsia="宋体" w:cs="宋体"/>
                <w:b/>
                <w:color w:val="000000"/>
                <w:sz w:val="20"/>
                <w:szCs w:val="1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875" w:type="dxa"/>
            <w:noWrap w:val="0"/>
            <w:vAlign w:val="top"/>
          </w:tcPr>
          <w:p>
            <w:pPr>
              <w:pStyle w:val="2"/>
              <w:spacing w:line="276" w:lineRule="auto"/>
              <w:jc w:val="center"/>
              <w:rPr>
                <w:rFonts w:hint="eastAsia" w:ascii="宋体" w:hAnsi="宋体" w:eastAsia="宋体" w:cs="宋体"/>
                <w:b/>
                <w:bCs w:val="0"/>
                <w:color w:val="000000"/>
                <w:spacing w:val="0"/>
                <w:szCs w:val="22"/>
                <w:lang w:eastAsia="zh-CN"/>
              </w:rPr>
            </w:pPr>
            <w:r>
              <w:rPr>
                <w:rFonts w:hint="eastAsia" w:ascii="宋体" w:hAnsi="宋体" w:cs="宋体"/>
                <w:b/>
                <w:bCs w:val="0"/>
                <w:color w:val="000000"/>
                <w:spacing w:val="0"/>
                <w:szCs w:val="22"/>
                <w:lang w:eastAsia="zh-CN"/>
              </w:rPr>
              <w:t>商务</w:t>
            </w:r>
          </w:p>
          <w:p>
            <w:pPr>
              <w:spacing w:line="276" w:lineRule="auto"/>
              <w:jc w:val="center"/>
              <w:rPr>
                <w:rFonts w:hint="eastAsia" w:ascii="宋体" w:hAnsi="宋体" w:eastAsia="宋体" w:cs="宋体"/>
                <w:b/>
                <w:color w:val="000000"/>
                <w:sz w:val="24"/>
                <w:szCs w:val="22"/>
              </w:rPr>
            </w:pPr>
            <w:r>
              <w:rPr>
                <w:rFonts w:hint="eastAsia" w:ascii="宋体" w:hAnsi="宋体" w:eastAsia="宋体" w:cs="宋体"/>
                <w:b/>
                <w:color w:val="000000"/>
                <w:sz w:val="24"/>
                <w:szCs w:val="22"/>
              </w:rPr>
              <w:t>报价</w:t>
            </w:r>
          </w:p>
          <w:p>
            <w:pPr>
              <w:spacing w:line="276" w:lineRule="auto"/>
              <w:jc w:val="both"/>
              <w:rPr>
                <w:rFonts w:hint="eastAsia" w:ascii="宋体" w:hAnsi="宋体" w:eastAsia="宋体" w:cs="宋体"/>
                <w:b/>
                <w:bCs/>
                <w:color w:val="000000"/>
                <w:sz w:val="24"/>
                <w:szCs w:val="22"/>
              </w:rPr>
            </w:pPr>
            <w:r>
              <w:rPr>
                <w:rFonts w:hint="eastAsia" w:ascii="宋体" w:hAnsi="宋体" w:eastAsia="宋体" w:cs="宋体"/>
                <w:b w:val="0"/>
                <w:bCs/>
                <w:color w:val="000000"/>
                <w:sz w:val="18"/>
                <w:szCs w:val="16"/>
                <w:lang w:eastAsia="zh-CN"/>
              </w:rPr>
              <w:t>（</w:t>
            </w:r>
            <w:r>
              <w:rPr>
                <w:rFonts w:hint="eastAsia" w:ascii="宋体" w:hAnsi="宋体" w:eastAsia="宋体" w:cs="宋体"/>
                <w:b w:val="0"/>
                <w:bCs/>
                <w:color w:val="000000"/>
                <w:sz w:val="18"/>
                <w:szCs w:val="16"/>
              </w:rPr>
              <w:t>30分）</w:t>
            </w:r>
          </w:p>
        </w:tc>
        <w:tc>
          <w:tcPr>
            <w:tcW w:w="1339" w:type="dxa"/>
            <w:noWrap w:val="0"/>
            <w:vAlign w:val="top"/>
          </w:tcPr>
          <w:p>
            <w:pPr>
              <w:pStyle w:val="2"/>
              <w:spacing w:line="276" w:lineRule="auto"/>
              <w:jc w:val="center"/>
              <w:rPr>
                <w:rFonts w:hint="eastAsia" w:ascii="宋体" w:hAnsi="宋体" w:eastAsia="宋体" w:cs="宋体"/>
                <w:bCs w:val="0"/>
                <w:color w:val="000000"/>
                <w:spacing w:val="0"/>
                <w:kern w:val="2"/>
                <w:sz w:val="21"/>
              </w:rPr>
            </w:pPr>
          </w:p>
          <w:p>
            <w:pPr>
              <w:pStyle w:val="2"/>
              <w:spacing w:line="276" w:lineRule="auto"/>
              <w:jc w:val="center"/>
              <w:rPr>
                <w:rFonts w:hint="eastAsia" w:ascii="宋体" w:hAnsi="宋体" w:eastAsia="宋体" w:cs="宋体"/>
                <w:bCs w:val="0"/>
                <w:color w:val="000000"/>
                <w:spacing w:val="0"/>
                <w:kern w:val="2"/>
                <w:sz w:val="21"/>
              </w:rPr>
            </w:pPr>
            <w:r>
              <w:rPr>
                <w:rFonts w:hint="eastAsia" w:ascii="宋体" w:hAnsi="宋体" w:eastAsia="宋体" w:cs="宋体"/>
                <w:bCs w:val="0"/>
                <w:color w:val="000000"/>
                <w:spacing w:val="0"/>
                <w:kern w:val="2"/>
                <w:sz w:val="21"/>
              </w:rPr>
              <w:t>报价得分</w:t>
            </w:r>
          </w:p>
        </w:tc>
        <w:tc>
          <w:tcPr>
            <w:tcW w:w="585" w:type="dxa"/>
            <w:noWrap w:val="0"/>
            <w:vAlign w:val="center"/>
          </w:tcPr>
          <w:p>
            <w:pPr>
              <w:pStyle w:val="2"/>
              <w:spacing w:line="276" w:lineRule="auto"/>
              <w:jc w:val="center"/>
              <w:rPr>
                <w:rFonts w:hint="eastAsia" w:ascii="宋体" w:hAnsi="宋体" w:eastAsia="宋体" w:cs="宋体"/>
                <w:bCs w:val="0"/>
                <w:color w:val="000000"/>
                <w:spacing w:val="0"/>
                <w:kern w:val="2"/>
                <w:sz w:val="21"/>
              </w:rPr>
            </w:pPr>
            <w:r>
              <w:rPr>
                <w:rFonts w:hint="eastAsia" w:ascii="宋体" w:hAnsi="宋体" w:eastAsia="宋体" w:cs="宋体"/>
                <w:bCs w:val="0"/>
                <w:color w:val="000000"/>
                <w:spacing w:val="0"/>
                <w:kern w:val="2"/>
                <w:sz w:val="21"/>
              </w:rPr>
              <w:t>30</w:t>
            </w:r>
          </w:p>
        </w:tc>
        <w:tc>
          <w:tcPr>
            <w:tcW w:w="6210" w:type="dxa"/>
            <w:noWrap w:val="0"/>
            <w:vAlign w:val="top"/>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综合评分法中的价格分统一采用低价优先法计算，即满足磋商文件要求且最后报价最低的供应商的价格为磋商基准价，其价格分为满分。其他供应商的价格分统一按照下列公式计算：</w:t>
            </w:r>
          </w:p>
          <w:p>
            <w:pPr>
              <w:spacing w:line="276" w:lineRule="auto"/>
              <w:rPr>
                <w:rFonts w:hint="eastAsia" w:ascii="宋体" w:hAnsi="宋体" w:eastAsia="宋体" w:cs="宋体"/>
                <w:color w:val="000000"/>
                <w:sz w:val="21"/>
                <w:lang w:eastAsia="zh-CN"/>
              </w:rPr>
            </w:pPr>
            <w:r>
              <w:rPr>
                <w:rFonts w:hint="eastAsia" w:ascii="宋体" w:hAnsi="宋体" w:eastAsia="宋体" w:cs="宋体"/>
                <w:color w:val="000000"/>
                <w:sz w:val="21"/>
              </w:rPr>
              <w:t>磋商报价得分=（磋商基准价/最后磋商报价）×价格权值×100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trPr>
        <w:tc>
          <w:tcPr>
            <w:tcW w:w="875" w:type="dxa"/>
            <w:vMerge w:val="restart"/>
            <w:noWrap w:val="0"/>
            <w:vAlign w:val="center"/>
          </w:tcPr>
          <w:p>
            <w:pPr>
              <w:spacing w:line="276" w:lineRule="auto"/>
              <w:jc w:val="center"/>
              <w:rPr>
                <w:rFonts w:hint="eastAsia" w:ascii="宋体" w:hAnsi="宋体" w:eastAsia="宋体" w:cs="宋体"/>
              </w:rPr>
            </w:pPr>
            <w:r>
              <w:rPr>
                <w:rFonts w:hint="eastAsia" w:ascii="宋体" w:hAnsi="宋体" w:eastAsia="宋体" w:cs="宋体"/>
              </w:rPr>
              <w:t>技</w:t>
            </w:r>
          </w:p>
          <w:p>
            <w:pPr>
              <w:spacing w:line="276" w:lineRule="auto"/>
              <w:jc w:val="center"/>
              <w:rPr>
                <w:rFonts w:hint="eastAsia" w:ascii="宋体" w:hAnsi="宋体" w:eastAsia="宋体" w:cs="宋体"/>
              </w:rPr>
            </w:pPr>
            <w:r>
              <w:rPr>
                <w:rFonts w:hint="eastAsia" w:ascii="宋体" w:hAnsi="宋体" w:eastAsia="宋体" w:cs="宋体"/>
              </w:rPr>
              <w:t>术</w:t>
            </w:r>
          </w:p>
          <w:p>
            <w:pPr>
              <w:spacing w:line="276" w:lineRule="auto"/>
              <w:jc w:val="center"/>
              <w:rPr>
                <w:rFonts w:hint="eastAsia" w:ascii="宋体" w:hAnsi="宋体" w:eastAsia="宋体" w:cs="宋体"/>
              </w:rPr>
            </w:pPr>
            <w:r>
              <w:rPr>
                <w:rFonts w:hint="eastAsia" w:ascii="宋体" w:hAnsi="宋体" w:eastAsia="宋体" w:cs="宋体"/>
              </w:rPr>
              <w:t>服</w:t>
            </w:r>
          </w:p>
          <w:p>
            <w:pPr>
              <w:spacing w:line="276" w:lineRule="auto"/>
              <w:jc w:val="center"/>
              <w:rPr>
                <w:rFonts w:hint="eastAsia" w:ascii="宋体" w:hAnsi="宋体" w:eastAsia="宋体" w:cs="宋体"/>
              </w:rPr>
            </w:pPr>
            <w:r>
              <w:rPr>
                <w:rFonts w:hint="eastAsia" w:ascii="宋体" w:hAnsi="宋体" w:eastAsia="宋体" w:cs="宋体"/>
              </w:rPr>
              <w:t>务</w:t>
            </w:r>
          </w:p>
          <w:p>
            <w:pPr>
              <w:spacing w:line="276" w:lineRule="auto"/>
              <w:jc w:val="center"/>
              <w:rPr>
                <w:rFonts w:hint="eastAsia" w:ascii="宋体" w:hAnsi="宋体" w:eastAsia="宋体" w:cs="宋体"/>
              </w:rPr>
            </w:pPr>
            <w:r>
              <w:rPr>
                <w:rFonts w:hint="eastAsia" w:ascii="宋体" w:hAnsi="宋体" w:eastAsia="宋体" w:cs="宋体"/>
              </w:rPr>
              <w:t>评</w:t>
            </w:r>
          </w:p>
          <w:p>
            <w:pPr>
              <w:spacing w:line="276" w:lineRule="auto"/>
              <w:jc w:val="center"/>
              <w:rPr>
                <w:rFonts w:hint="eastAsia" w:ascii="宋体" w:hAnsi="宋体" w:eastAsia="宋体" w:cs="宋体"/>
              </w:rPr>
            </w:pPr>
            <w:r>
              <w:rPr>
                <w:rFonts w:hint="eastAsia" w:ascii="宋体" w:hAnsi="宋体" w:eastAsia="宋体" w:cs="宋体"/>
              </w:rPr>
              <w:t>议</w:t>
            </w:r>
          </w:p>
          <w:p>
            <w:pPr>
              <w:pStyle w:val="2"/>
              <w:rPr>
                <w:rFonts w:hint="eastAsia" w:ascii="宋体" w:hAnsi="宋体" w:eastAsia="宋体" w:cs="宋体"/>
              </w:rPr>
            </w:pPr>
            <w:r>
              <w:rPr>
                <w:rFonts w:hint="eastAsia" w:ascii="宋体" w:hAnsi="宋体" w:eastAsia="宋体" w:cs="宋体"/>
                <w:b w:val="0"/>
                <w:bCs w:val="0"/>
                <w:color w:val="000000"/>
                <w:sz w:val="21"/>
                <w:szCs w:val="20"/>
              </w:rPr>
              <w:t>（60分）</w:t>
            </w: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施工方案</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10</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4"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施工重点难点分析</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10</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针对本项目制定的施工重点难点分析报告非常详细，思路清晰，完全符合项目实际情况的得8-10分；供应商针对本项目制定的施工重点难点分析报告基本详细，符合项目实际情况的得5-7分；供应商针对本项目制定的施工重点难点分析报告简单描述，勉强符合项目实际情况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质量保障措施</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针对本项目的质量保障措施配置科学合理、规章制度健全、岗位职责及质量管理目标明确得6分；质量保障措施配置合理、规章制度健全、岗位职责及质量管理目标明确的得3-5分；质量保障措施配置基本合理、规章制度健全、岗位职责及质量管理目标基本明确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安全、文明管理体系与措施</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施工环保措施计划、减少噪音、降低环境污染</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施工环保措施计划、减少噪音、降低环境污染等措施科学先进、合理的得5-6分；施工环保措施计划、减少噪音、降低环境污染等措施合理的得3-4分；施工环保措施计划、减少噪音、降低环境污染等措施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工程进度保障措施</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供应商的工程进度保障措施完善合理，且完全符合项目特点得6分；工程进度保障措施较合理得3-5分；工程进度保障措施基本合理得0-2分。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资源配备计划</w:t>
            </w:r>
          </w:p>
        </w:tc>
        <w:tc>
          <w:tcPr>
            <w:tcW w:w="585"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top"/>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资金使用和主要材料用量的计算说明详细完善、思路清晰，劳动力与施工机械设备安排计划科学合理的得5-6分；资金使用和主要材料的计算说明基本详细，劳动力与施工机械设备安排计划合理的得3-4分；资金使用和主要材料用量的计算说明简单描述，劳动力与施工机械设备安排计划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质量服务承诺</w:t>
            </w:r>
          </w:p>
        </w:tc>
        <w:tc>
          <w:tcPr>
            <w:tcW w:w="585"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4</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供应商有保证工程质量的承诺且有具体的经济处罚措施的的得4分，没有得0分。（提供承诺书原件并加盖公章）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售后服务承诺</w:t>
            </w:r>
          </w:p>
        </w:tc>
        <w:tc>
          <w:tcPr>
            <w:tcW w:w="585"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1.供应商有明确的售后服务措施（包括质保期和故障响应时间），且承诺具体可行，具有一定优势，最高得3分；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2.供应商有售后质保承诺的得3分，否则不得分。（提供承诺书原件并加盖公章）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99" w:type="dxa"/>
            <w:gridSpan w:val="3"/>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技术分合计</w:t>
            </w:r>
          </w:p>
        </w:tc>
        <w:tc>
          <w:tcPr>
            <w:tcW w:w="6210" w:type="dxa"/>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875" w:type="dxa"/>
            <w:vMerge w:val="restart"/>
            <w:noWrap w:val="0"/>
            <w:vAlign w:val="center"/>
          </w:tcPr>
          <w:p>
            <w:pPr>
              <w:spacing w:line="276" w:lineRule="auto"/>
              <w:jc w:val="center"/>
              <w:rPr>
                <w:rFonts w:hint="eastAsia" w:ascii="宋体" w:hAnsi="宋体" w:cs="宋体"/>
                <w:lang w:eastAsia="zh-CN"/>
              </w:rPr>
            </w:pPr>
            <w:r>
              <w:rPr>
                <w:rFonts w:hint="eastAsia" w:ascii="宋体" w:hAnsi="宋体" w:cs="宋体"/>
                <w:lang w:eastAsia="zh-CN"/>
              </w:rPr>
              <w:t>综</w:t>
            </w:r>
          </w:p>
          <w:p>
            <w:pPr>
              <w:spacing w:line="276" w:lineRule="auto"/>
              <w:jc w:val="center"/>
              <w:rPr>
                <w:rFonts w:hint="default" w:ascii="宋体" w:hAnsi="宋体" w:cs="宋体"/>
                <w:lang w:val="en-US" w:eastAsia="zh-CN"/>
              </w:rPr>
            </w:pPr>
            <w:r>
              <w:rPr>
                <w:rFonts w:hint="eastAsia" w:ascii="宋体" w:hAnsi="宋体" w:cs="宋体"/>
                <w:lang w:val="en-US" w:eastAsia="zh-CN"/>
              </w:rPr>
              <w:t>合</w:t>
            </w:r>
          </w:p>
          <w:p>
            <w:pPr>
              <w:spacing w:line="276" w:lineRule="auto"/>
              <w:jc w:val="center"/>
              <w:rPr>
                <w:rFonts w:hint="eastAsia" w:ascii="宋体" w:hAnsi="宋体" w:cs="宋体"/>
                <w:lang w:eastAsia="zh-CN"/>
              </w:rPr>
            </w:pPr>
            <w:r>
              <w:rPr>
                <w:rFonts w:hint="eastAsia" w:ascii="宋体" w:hAnsi="宋体" w:cs="宋体"/>
                <w:lang w:eastAsia="zh-CN"/>
              </w:rPr>
              <w:t>评</w:t>
            </w:r>
          </w:p>
          <w:p>
            <w:pPr>
              <w:spacing w:line="276" w:lineRule="auto"/>
              <w:jc w:val="center"/>
              <w:rPr>
                <w:rFonts w:hint="eastAsia" w:ascii="宋体" w:hAnsi="宋体" w:eastAsia="宋体" w:cs="宋体"/>
              </w:rPr>
            </w:pPr>
            <w:r>
              <w:rPr>
                <w:rFonts w:hint="eastAsia" w:ascii="宋体" w:hAnsi="宋体" w:eastAsia="宋体" w:cs="宋体"/>
              </w:rPr>
              <w:t>议</w:t>
            </w:r>
          </w:p>
          <w:p>
            <w:pPr>
              <w:spacing w:line="276" w:lineRule="auto"/>
              <w:jc w:val="center"/>
              <w:rPr>
                <w:rFonts w:hint="eastAsia" w:ascii="宋体" w:hAnsi="宋体" w:eastAsia="宋体" w:cs="宋体"/>
                <w:b/>
                <w:sz w:val="24"/>
                <w:szCs w:val="20"/>
              </w:rPr>
            </w:pPr>
            <w:r>
              <w:rPr>
                <w:rFonts w:hint="eastAsia" w:ascii="宋体" w:hAnsi="宋体" w:eastAsia="宋体" w:cs="宋体"/>
              </w:rPr>
              <w:t>（10分）</w:t>
            </w: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企业实力</w:t>
            </w:r>
          </w:p>
        </w:tc>
        <w:tc>
          <w:tcPr>
            <w:tcW w:w="585" w:type="dxa"/>
            <w:noWrap w:val="0"/>
            <w:vAlign w:val="center"/>
          </w:tcPr>
          <w:p>
            <w:pPr>
              <w:spacing w:line="240" w:lineRule="exact"/>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3</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1.供应商具备合格有效的ISO9001质量管理体系认证证书得1分；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2.供应商具备合格有效的ISO14001环境管理体系认证证书得1分；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3.供应商具备合格有效的OHSAS18001职业健康安全管理体系认证证书得1分。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（提供以上认证证书的原件真彩扫描打印件并加盖公章）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9"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类似项目</w:t>
            </w:r>
          </w:p>
        </w:tc>
        <w:tc>
          <w:tcPr>
            <w:tcW w:w="585"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2</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根据供应商提供的近三年（投标截止前三年）类似项目数量进行评分，每提供一个类似项目加1分，此项最高得2分。（供应商提供的业绩信息必须附中标通知书（如有）、合同协议书、工程接收证书或工程竣工验收证书（工程竣工验收备案证）及其他证明材料（如需要）的原件真彩扫描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1"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承诺</w:t>
            </w:r>
          </w:p>
        </w:tc>
        <w:tc>
          <w:tcPr>
            <w:tcW w:w="585"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3</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1.供应商承诺施工过程中不随意更换项目经理、技术负责人得1分，否则得 0 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2.供应商承诺创建优质工程并有相应完善的管理措施的得 1分，否则得 0 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3.供应商承诺施工过程中保障施工人员权益（包括但不限于不拖欠施工人员工资、保障施工人员福利等）的得1分，否则得 0 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（提供以上承诺书原件并加盖公章）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磋商响应文件的完整性</w:t>
            </w:r>
          </w:p>
        </w:tc>
        <w:tc>
          <w:tcPr>
            <w:tcW w:w="585"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2</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磋商响应文件全面响应磋商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99" w:type="dxa"/>
            <w:gridSpan w:val="3"/>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商务分合计</w:t>
            </w:r>
          </w:p>
        </w:tc>
        <w:tc>
          <w:tcPr>
            <w:tcW w:w="6210" w:type="dxa"/>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99" w:type="dxa"/>
            <w:gridSpan w:val="3"/>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得分总计</w:t>
            </w:r>
          </w:p>
        </w:tc>
        <w:tc>
          <w:tcPr>
            <w:tcW w:w="6210" w:type="dxa"/>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100分</w:t>
            </w:r>
          </w:p>
        </w:tc>
      </w:tr>
    </w:tbl>
    <w:p>
      <w:pPr>
        <w:pStyle w:val="5"/>
        <w:rPr>
          <w:rFonts w:hint="eastAsia"/>
        </w:rPr>
      </w:pPr>
    </w:p>
    <w:p>
      <w:pPr>
        <w:widowControl/>
        <w:jc w:val="left"/>
        <w:rPr>
          <w:rFonts w:ascii="宋体" w:hAnsi="宋体"/>
          <w:color w:val="000000"/>
          <w:szCs w:val="21"/>
        </w:rPr>
      </w:pPr>
      <w:r>
        <w:rPr>
          <w:rFonts w:hint="eastAsia" w:ascii="宋体" w:hAnsi="宋体"/>
          <w:color w:val="000000"/>
          <w:szCs w:val="21"/>
        </w:rPr>
        <w:t>备注：</w:t>
      </w:r>
    </w:p>
    <w:p>
      <w:pPr>
        <w:widowControl/>
        <w:jc w:val="left"/>
        <w:rPr>
          <w:rFonts w:ascii="宋体" w:hAnsi="宋体"/>
          <w:szCs w:val="21"/>
        </w:rPr>
      </w:pPr>
      <w:r>
        <w:rPr>
          <w:rFonts w:hint="eastAsia" w:ascii="宋体" w:hAnsi="宋体"/>
          <w:szCs w:val="21"/>
        </w:rPr>
        <w:t>1.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证明材料需提供真彩扫描打印件。</w:t>
      </w:r>
    </w:p>
    <w:p>
      <w:pPr>
        <w:rPr>
          <w:rFonts w:hint="eastAsia"/>
          <w:lang w:val="en-US" w:eastAsia="zh-CN"/>
        </w:rPr>
      </w:pPr>
      <w:r>
        <w:rPr>
          <w:rFonts w:hint="eastAsia" w:ascii="宋体" w:hAnsi="宋体"/>
          <w:szCs w:val="21"/>
        </w:rPr>
        <w:t>2.</w:t>
      </w:r>
      <w:r>
        <w:rPr>
          <w:rFonts w:hint="eastAsia" w:ascii="仿宋_GB2312" w:hAnsi="新宋体" w:eastAsia="仿宋_GB2312" w:cs="黑体"/>
          <w:b/>
          <w:sz w:val="20"/>
          <w:szCs w:val="22"/>
        </w:rPr>
        <w:t xml:space="preserve"> </w:t>
      </w:r>
      <w:r>
        <w:rPr>
          <w:rFonts w:hint="eastAsia" w:ascii="宋体" w:hAnsi="宋体"/>
          <w:szCs w:val="21"/>
        </w:rPr>
        <w:t>如供应商的最终报价低于项目采购预算的</w:t>
      </w:r>
      <w:r>
        <w:rPr>
          <w:rFonts w:hint="eastAsia" w:ascii="宋体" w:hAnsi="宋体"/>
          <w:szCs w:val="21"/>
          <w:lang w:val="en-US" w:eastAsia="zh-CN"/>
        </w:rPr>
        <w:t>90</w:t>
      </w:r>
      <w:r>
        <w:rPr>
          <w:rFonts w:hint="eastAsia" w:ascii="宋体" w:hAnsi="宋体"/>
          <w:szCs w:val="21"/>
        </w:rPr>
        <w:t>%，磋商小组可启动磋商报价低于成本问询程序：要求供应商作出书面说明并提供相关证明材料，如供应商在 30 分钟内无法提供或者磋商小组认为报价低于成本价时，磋商小组应当将其视为无效投标。</w:t>
      </w:r>
    </w:p>
    <w:p>
      <w:pPr>
        <w:pStyle w:val="2"/>
        <w:rPr>
          <w:rFonts w:hint="eastAsia"/>
          <w:lang w:val="en-US" w:eastAsia="zh-CN"/>
        </w:rPr>
      </w:pPr>
    </w:p>
    <w:p>
      <w:pPr>
        <w:rPr>
          <w:rFonts w:hint="eastAsia"/>
          <w:lang w:val="en-US" w:eastAsia="zh-CN"/>
        </w:rPr>
      </w:pPr>
      <w:r>
        <w:rPr>
          <w:rFonts w:hint="eastAsia"/>
          <w:lang w:val="en-US" w:eastAsia="zh-CN"/>
        </w:rPr>
        <w:br w:type="page"/>
      </w:r>
    </w:p>
    <w:p>
      <w:pPr>
        <w:rPr>
          <w:rFonts w:hint="default" w:eastAsia="宋体"/>
          <w:lang w:val="en-US" w:eastAsia="zh-CN"/>
        </w:rPr>
      </w:pPr>
      <w:r>
        <w:rPr>
          <w:rFonts w:hint="eastAsia"/>
          <w:lang w:val="en-US" w:eastAsia="zh-CN"/>
        </w:rPr>
        <w:t>附件二</w:t>
      </w:r>
    </w:p>
    <w:p>
      <w:pPr>
        <w:jc w:val="center"/>
        <w:rPr>
          <w:sz w:val="32"/>
          <w:szCs w:val="32"/>
        </w:rPr>
      </w:pPr>
      <w:r>
        <w:rPr>
          <w:rFonts w:hint="eastAsia"/>
          <w:sz w:val="32"/>
          <w:szCs w:val="32"/>
        </w:rPr>
        <w:t>供应商报名表</w:t>
      </w: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1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供应商名称（盖章）</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联系人姓名</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联系人电话</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（办公电话和手机）</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联系人邮箱</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供应商提供的</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报名资料</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1.</w:t>
            </w:r>
            <w:r>
              <w:rPr>
                <w:rFonts w:hint="eastAsia" w:ascii="宋体" w:hAnsi="宋体" w:eastAsia="宋体" w:cs="宋体"/>
                <w:kern w:val="0"/>
                <w:szCs w:val="21"/>
              </w:rPr>
              <w:t>法人或者其他组织的营业执照等证明文件，如供应商是自然人的提供身份证明材料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2.</w:t>
            </w:r>
            <w:r>
              <w:rPr>
                <w:rFonts w:hint="eastAsia" w:ascii="宋体" w:hAnsi="宋体" w:eastAsia="宋体" w:cs="宋体"/>
                <w:kern w:val="0"/>
                <w:szCs w:val="21"/>
              </w:rPr>
              <w:t>财务状况报告必须无亏损，依法缴纳税收和社会保障资金的相关材料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3.</w:t>
            </w:r>
            <w:r>
              <w:rPr>
                <w:rFonts w:hint="eastAsia" w:ascii="宋体" w:hAnsi="宋体" w:eastAsia="宋体" w:cs="宋体"/>
                <w:kern w:val="0"/>
                <w:szCs w:val="21"/>
              </w:rPr>
              <w:t>具备履行合同所必需的设备和专业技术能力的证明材料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4.</w:t>
            </w:r>
            <w:r>
              <w:rPr>
                <w:rFonts w:hint="eastAsia" w:ascii="宋体" w:hAnsi="宋体" w:eastAsia="宋体" w:cs="宋体"/>
                <w:kern w:val="0"/>
                <w:szCs w:val="21"/>
              </w:rPr>
              <w:t>参加政府采购活动前3年内在经营活动中没有重大违法记录的书面声明</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5.</w:t>
            </w:r>
            <w:r>
              <w:rPr>
                <w:rFonts w:hint="eastAsia" w:ascii="宋体" w:hAnsi="宋体" w:eastAsia="宋体" w:cs="宋体"/>
                <w:kern w:val="0"/>
                <w:szCs w:val="21"/>
              </w:rPr>
              <w:t>具备法律、行政法规规定的其他条件的证明材料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6.</w:t>
            </w:r>
            <w:r>
              <w:rPr>
                <w:rFonts w:hint="eastAsia" w:ascii="宋体" w:hAnsi="宋体" w:eastAsia="宋体" w:cs="宋体"/>
                <w:kern w:val="0"/>
                <w:szCs w:val="21"/>
              </w:rPr>
              <w:t>未被列入 “信用中国”网站（www.creditchina.gov.cn）失信被执行人、重大税收违法案件当事人名单、政府采购严重违法失信行为记录名单的网页打印件</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right w:val="single" w:color="auto" w:sz="4" w:space="0"/>
            </w:tcBorders>
            <w:vAlign w:val="center"/>
          </w:tcPr>
          <w:p>
            <w:pPr>
              <w:widowControl/>
              <w:adjustRightInd w:val="0"/>
              <w:snapToGri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特定条件</w:t>
            </w:r>
          </w:p>
        </w:tc>
        <w:tc>
          <w:tcPr>
            <w:tcW w:w="5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（一）应具备《政府采购法》第二十二条第一款规定的条件；</w:t>
            </w:r>
          </w:p>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（二）未被列入“信用中国”网站(www.creditchina.gov.cn)失信被执行人、重大税收违法案件当事人名单、政府采购严重违法失信行为记录名单；</w:t>
            </w:r>
          </w:p>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（三）特定条件</w:t>
            </w:r>
          </w:p>
          <w:p>
            <w:pPr>
              <w:adjustRightInd w:val="0"/>
              <w:snapToGrid w:val="0"/>
              <w:spacing w:line="360" w:lineRule="auto"/>
              <w:rPr>
                <w:rFonts w:hint="eastAsia"/>
                <w:color w:val="000000" w:themeColor="text1"/>
                <w:szCs w:val="21"/>
              </w:rPr>
            </w:pPr>
            <w:r>
              <w:rPr>
                <w:rFonts w:hint="eastAsia"/>
                <w:color w:val="000000" w:themeColor="text1"/>
                <w:szCs w:val="21"/>
              </w:rPr>
              <w:t>1、本次招标要求申请人须具备</w:t>
            </w:r>
            <w:r>
              <w:rPr>
                <w:rFonts w:hint="eastAsia"/>
                <w:color w:val="000000" w:themeColor="text1"/>
                <w:szCs w:val="21"/>
                <w:lang w:eastAsia="zh-CN"/>
              </w:rPr>
              <w:t>建筑</w:t>
            </w:r>
            <w:r>
              <w:rPr>
                <w:rFonts w:hint="eastAsia"/>
                <w:color w:val="000000" w:themeColor="text1"/>
                <w:szCs w:val="21"/>
              </w:rPr>
              <w:t>工程施工总承包叁级及以上资质，并在人员、设备、资金等方面具有相应的施工能力，其中，项目管理机构还应配备具有岗位证的施工员、安全员、质检员等相应专业管理人员。申请人拟派项目经理须具备</w:t>
            </w:r>
            <w:r>
              <w:rPr>
                <w:rFonts w:hint="eastAsia"/>
                <w:color w:val="000000" w:themeColor="text1"/>
                <w:szCs w:val="21"/>
                <w:lang w:eastAsia="zh-CN"/>
              </w:rPr>
              <w:t>建筑</w:t>
            </w:r>
            <w:r>
              <w:rPr>
                <w:rFonts w:hint="eastAsia"/>
                <w:color w:val="000000" w:themeColor="text1"/>
                <w:szCs w:val="21"/>
              </w:rPr>
              <w:t>工程贰级及以上注册建造师执业资格</w:t>
            </w:r>
            <w:r>
              <w:rPr>
                <w:rFonts w:hint="eastAsia"/>
                <w:color w:val="000000" w:themeColor="text1"/>
                <w:szCs w:val="21"/>
                <w:lang w:eastAsia="zh-CN"/>
              </w:rPr>
              <w:t>，（</w:t>
            </w:r>
            <w:r>
              <w:rPr>
                <w:rFonts w:hint="eastAsia"/>
                <w:color w:val="000000" w:themeColor="text1"/>
                <w:szCs w:val="21"/>
              </w:rPr>
              <w:t>2017年</w:t>
            </w:r>
            <w:r>
              <w:rPr>
                <w:rFonts w:hint="eastAsia"/>
                <w:color w:val="000000" w:themeColor="text1"/>
                <w:szCs w:val="21"/>
                <w:lang w:val="en-US" w:eastAsia="zh-CN"/>
              </w:rPr>
              <w:t>10</w:t>
            </w:r>
            <w:r>
              <w:rPr>
                <w:rFonts w:hint="eastAsia"/>
                <w:color w:val="000000" w:themeColor="text1"/>
                <w:szCs w:val="21"/>
              </w:rPr>
              <w:t>月至2020年</w:t>
            </w:r>
            <w:r>
              <w:rPr>
                <w:rFonts w:hint="eastAsia"/>
                <w:color w:val="000000" w:themeColor="text1"/>
                <w:szCs w:val="21"/>
                <w:lang w:val="en-US" w:eastAsia="zh-CN"/>
              </w:rPr>
              <w:t>10</w:t>
            </w:r>
            <w:r>
              <w:rPr>
                <w:rFonts w:hint="eastAsia"/>
                <w:color w:val="000000" w:themeColor="text1"/>
                <w:szCs w:val="21"/>
              </w:rPr>
              <w:t>月</w:t>
            </w:r>
            <w:r>
              <w:rPr>
                <w:rFonts w:hint="eastAsia"/>
                <w:color w:val="000000" w:themeColor="text1"/>
                <w:szCs w:val="21"/>
                <w:lang w:eastAsia="zh-CN"/>
              </w:rPr>
              <w:t>）以项目经理身份</w:t>
            </w:r>
            <w:r>
              <w:rPr>
                <w:rFonts w:hint="eastAsia"/>
                <w:color w:val="000000" w:themeColor="text1"/>
                <w:szCs w:val="21"/>
              </w:rPr>
              <w:t>至少承担过1项已完工类似工程业绩（提供施工合同和工程竣工验收证明，以竣工时间为准，同时网站发布的业绩中标公示截图页面的打印件加盖公章）</w:t>
            </w:r>
            <w:r>
              <w:rPr>
                <w:rFonts w:hint="eastAsia"/>
                <w:color w:val="000000" w:themeColor="text1"/>
                <w:szCs w:val="21"/>
                <w:lang w:eastAsia="zh-CN"/>
              </w:rPr>
              <w:t>，</w:t>
            </w:r>
            <w:r>
              <w:rPr>
                <w:rFonts w:hint="eastAsia"/>
                <w:color w:val="000000" w:themeColor="text1"/>
                <w:szCs w:val="21"/>
              </w:rPr>
              <w:t>；提供所在单位为其缴纳的社保部门出具的社保记录证明；具备有效的安全生产考核合格证书（B 证），且未担任其他在施建设工程项目的项目经理，项目技术负责人必须具有</w:t>
            </w:r>
            <w:r>
              <w:rPr>
                <w:rFonts w:hint="eastAsia"/>
                <w:color w:val="000000" w:themeColor="text1"/>
                <w:szCs w:val="21"/>
                <w:lang w:eastAsia="zh-CN"/>
              </w:rPr>
              <w:t>建筑</w:t>
            </w:r>
            <w:r>
              <w:rPr>
                <w:rFonts w:hint="eastAsia"/>
                <w:color w:val="000000" w:themeColor="text1"/>
                <w:szCs w:val="21"/>
              </w:rPr>
              <w:t>工程专业中级工程师（含）及以上职称，五大员具有岗位证书，安全员还应具有安全考核证书（C 证）。</w:t>
            </w:r>
          </w:p>
          <w:p>
            <w:pPr>
              <w:adjustRightInd w:val="0"/>
              <w:snapToGrid w:val="0"/>
              <w:spacing w:line="360" w:lineRule="auto"/>
              <w:rPr>
                <w:rFonts w:hint="eastAsia"/>
                <w:color w:val="000000" w:themeColor="text1"/>
                <w:szCs w:val="21"/>
              </w:rPr>
            </w:pPr>
            <w:r>
              <w:rPr>
                <w:rFonts w:hint="eastAsia"/>
                <w:color w:val="000000" w:themeColor="text1"/>
                <w:sz w:val="24"/>
              </w:rPr>
              <w:t>2、</w:t>
            </w:r>
            <w:r>
              <w:rPr>
                <w:rFonts w:hint="eastAsia"/>
                <w:color w:val="000000" w:themeColor="text1"/>
                <w:szCs w:val="21"/>
              </w:rPr>
              <w:t>本工程不接受在阳新县公共资源交易监督管理局有不良记录的企业投标。</w:t>
            </w:r>
          </w:p>
          <w:p>
            <w:pPr>
              <w:adjustRightInd w:val="0"/>
              <w:snapToGrid w:val="0"/>
              <w:spacing w:line="360" w:lineRule="auto"/>
              <w:rPr>
                <w:rFonts w:hint="eastAsia"/>
                <w:color w:val="000000" w:themeColor="text1"/>
                <w:szCs w:val="21"/>
              </w:rPr>
            </w:pPr>
            <w:r>
              <w:rPr>
                <w:rFonts w:hint="eastAsia"/>
                <w:color w:val="000000" w:themeColor="text1"/>
                <w:szCs w:val="21"/>
              </w:rPr>
              <w:t>3、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adjustRightInd w:val="0"/>
              <w:snapToGrid w:val="0"/>
              <w:spacing w:line="360" w:lineRule="auto"/>
              <w:rPr>
                <w:rFonts w:ascii="宋体" w:hAnsi="宋体" w:eastAsia="宋体" w:cs="宋体"/>
                <w:kern w:val="0"/>
                <w:szCs w:val="21"/>
              </w:rPr>
            </w:pPr>
            <w:r>
              <w:rPr>
                <w:rFonts w:hint="eastAsia"/>
                <w:color w:val="000000" w:themeColor="text1"/>
                <w:szCs w:val="21"/>
                <w:lang w:val="en-US" w:eastAsia="zh-CN"/>
              </w:rPr>
              <w:t>4</w:t>
            </w:r>
            <w:r>
              <w:rPr>
                <w:rFonts w:hint="eastAsia"/>
                <w:color w:val="000000" w:themeColor="text1"/>
                <w:szCs w:val="21"/>
              </w:rPr>
              <w:t>、本次招标不接受联合体</w:t>
            </w:r>
            <w:r>
              <w:rPr>
                <w:rFonts w:hint="eastAsia" w:ascii="宋体" w:hAnsi="宋体" w:eastAsia="宋体" w:cs="宋体"/>
                <w:kern w:val="0"/>
                <w:szCs w:val="21"/>
              </w:rPr>
              <w:t>。</w:t>
            </w:r>
          </w:p>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供应商意见</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供应商可对本项目采购需求及评分标准的公正性、专业性、合理性等提出自己正确的意见、建议等（可另页详细表述）。</w:t>
            </w:r>
          </w:p>
        </w:tc>
      </w:tr>
    </w:tbl>
    <w:p>
      <w:pPr>
        <w:pStyle w:val="10"/>
        <w:shd w:val="clear" w:color="auto" w:fill="FFFFFF"/>
        <w:spacing w:before="150" w:beforeAutospacing="0" w:after="150" w:afterAutospacing="0" w:line="360" w:lineRule="atLeast"/>
        <w:ind w:left="150"/>
        <w:rPr>
          <w:rStyle w:val="15"/>
          <w:b w:val="0"/>
          <w:color w:val="000000" w:themeColor="text1"/>
        </w:rPr>
      </w:pPr>
      <w:r>
        <w:rPr>
          <w:rStyle w:val="15"/>
          <w:rFonts w:hint="eastAsia"/>
          <w:b w:val="0"/>
          <w:color w:val="000000" w:themeColor="text1"/>
        </w:rPr>
        <w:t>注意事项：</w:t>
      </w:r>
    </w:p>
    <w:p>
      <w:pPr>
        <w:pStyle w:val="10"/>
        <w:shd w:val="clear" w:color="auto" w:fill="FFFFFF"/>
        <w:spacing w:before="150" w:beforeAutospacing="0" w:after="150" w:afterAutospacing="0" w:line="360" w:lineRule="atLeast"/>
        <w:ind w:left="150" w:firstLine="480" w:firstLineChars="200"/>
        <w:rPr>
          <w:rStyle w:val="15"/>
          <w:b w:val="0"/>
          <w:color w:val="000000" w:themeColor="text1"/>
        </w:rPr>
      </w:pPr>
      <w:r>
        <w:rPr>
          <w:rFonts w:hint="eastAsia"/>
          <w:color w:val="000000" w:themeColor="text1"/>
        </w:rPr>
        <w:t>1.供应商必须严格按照公告的内容和要求，完整递交有关资料，</w:t>
      </w:r>
      <w:r>
        <w:rPr>
          <w:rStyle w:val="15"/>
          <w:rFonts w:hint="eastAsia"/>
          <w:b w:val="0"/>
          <w:color w:val="000000" w:themeColor="text1"/>
        </w:rPr>
        <w:t>逾期递交的将予以拒收。</w:t>
      </w:r>
    </w:p>
    <w:p>
      <w:pPr>
        <w:pStyle w:val="10"/>
        <w:shd w:val="clear" w:color="auto" w:fill="FFFFFF"/>
        <w:spacing w:before="150" w:beforeAutospacing="0" w:after="150" w:afterAutospacing="0" w:line="360" w:lineRule="atLeast"/>
        <w:ind w:left="150" w:firstLine="480" w:firstLineChars="200"/>
        <w:rPr>
          <w:rFonts w:ascii="微软雅黑" w:hAnsi="微软雅黑" w:eastAsia="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
        <w:rPr>
          <w:rFonts w:hint="eastAsia"/>
          <w:color w:val="000000" w:themeColor="text1"/>
        </w:rPr>
        <w:t>3.须在邮件（附件文件名注明公司全称）注明公司全称、项目名称及项目编号（不注明我单位将拒收报名邮件）。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长城仿宋">
    <w:altName w:val="仿宋_GB2312"/>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0pq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zeUOK4xRHtfv7Y/fqz+/2dXOX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q0pqrgBAABUAwAADgAAAAAAAAABACAAAAAeAQAAZHJzL2Uyb0RvYy54bWxQSwUGAAAAAAYABgBZ&#10;AQAASAU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90EA0"/>
    <w:multiLevelType w:val="multilevel"/>
    <w:tmpl w:val="2D890EA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6BFD"/>
    <w:rsid w:val="00023CBA"/>
    <w:rsid w:val="00024ED8"/>
    <w:rsid w:val="0002546C"/>
    <w:rsid w:val="000274B8"/>
    <w:rsid w:val="00033E96"/>
    <w:rsid w:val="00037A6F"/>
    <w:rsid w:val="00040735"/>
    <w:rsid w:val="00050608"/>
    <w:rsid w:val="000527BB"/>
    <w:rsid w:val="000549A9"/>
    <w:rsid w:val="00056AED"/>
    <w:rsid w:val="00064C78"/>
    <w:rsid w:val="0008654C"/>
    <w:rsid w:val="000867B4"/>
    <w:rsid w:val="00087E3A"/>
    <w:rsid w:val="0009726D"/>
    <w:rsid w:val="000A3309"/>
    <w:rsid w:val="000A6872"/>
    <w:rsid w:val="000B3AFC"/>
    <w:rsid w:val="000C6BBE"/>
    <w:rsid w:val="000C7A81"/>
    <w:rsid w:val="00101CA6"/>
    <w:rsid w:val="00104393"/>
    <w:rsid w:val="00112B11"/>
    <w:rsid w:val="00120CEA"/>
    <w:rsid w:val="00122B5C"/>
    <w:rsid w:val="00127B67"/>
    <w:rsid w:val="00167F38"/>
    <w:rsid w:val="00172A27"/>
    <w:rsid w:val="0019680B"/>
    <w:rsid w:val="001A2453"/>
    <w:rsid w:val="001C3F98"/>
    <w:rsid w:val="001D00A2"/>
    <w:rsid w:val="001F7783"/>
    <w:rsid w:val="00227C74"/>
    <w:rsid w:val="00232881"/>
    <w:rsid w:val="0023592C"/>
    <w:rsid w:val="00241FC1"/>
    <w:rsid w:val="00247E29"/>
    <w:rsid w:val="00250BFB"/>
    <w:rsid w:val="00251305"/>
    <w:rsid w:val="00251DA2"/>
    <w:rsid w:val="0027306D"/>
    <w:rsid w:val="00286F91"/>
    <w:rsid w:val="002912E3"/>
    <w:rsid w:val="002B2C7F"/>
    <w:rsid w:val="002B3115"/>
    <w:rsid w:val="002C0DCE"/>
    <w:rsid w:val="002C2BE3"/>
    <w:rsid w:val="002C55AE"/>
    <w:rsid w:val="002D20BD"/>
    <w:rsid w:val="002D2CFE"/>
    <w:rsid w:val="002E3FA6"/>
    <w:rsid w:val="002F48B3"/>
    <w:rsid w:val="002F4AFA"/>
    <w:rsid w:val="002F7250"/>
    <w:rsid w:val="00301A1C"/>
    <w:rsid w:val="00302295"/>
    <w:rsid w:val="003241BB"/>
    <w:rsid w:val="00334D3C"/>
    <w:rsid w:val="00335DA3"/>
    <w:rsid w:val="00340104"/>
    <w:rsid w:val="00354132"/>
    <w:rsid w:val="00364E6E"/>
    <w:rsid w:val="0038354E"/>
    <w:rsid w:val="00384F78"/>
    <w:rsid w:val="003A3307"/>
    <w:rsid w:val="003B7B1B"/>
    <w:rsid w:val="003E7010"/>
    <w:rsid w:val="003F43BF"/>
    <w:rsid w:val="00407960"/>
    <w:rsid w:val="004136C5"/>
    <w:rsid w:val="0042465C"/>
    <w:rsid w:val="004357AA"/>
    <w:rsid w:val="004451C8"/>
    <w:rsid w:val="004465E5"/>
    <w:rsid w:val="00450AE4"/>
    <w:rsid w:val="0045317F"/>
    <w:rsid w:val="00455635"/>
    <w:rsid w:val="00462B04"/>
    <w:rsid w:val="00465FFA"/>
    <w:rsid w:val="00471D57"/>
    <w:rsid w:val="0048332F"/>
    <w:rsid w:val="0048653B"/>
    <w:rsid w:val="00487186"/>
    <w:rsid w:val="004A769B"/>
    <w:rsid w:val="004B38AE"/>
    <w:rsid w:val="004B5D9E"/>
    <w:rsid w:val="004C102D"/>
    <w:rsid w:val="004C21DE"/>
    <w:rsid w:val="004C2FBC"/>
    <w:rsid w:val="004E0358"/>
    <w:rsid w:val="00501094"/>
    <w:rsid w:val="0051315F"/>
    <w:rsid w:val="0051396C"/>
    <w:rsid w:val="00526415"/>
    <w:rsid w:val="0053126C"/>
    <w:rsid w:val="00532D66"/>
    <w:rsid w:val="005363F4"/>
    <w:rsid w:val="005517D8"/>
    <w:rsid w:val="00552BF4"/>
    <w:rsid w:val="00557E5B"/>
    <w:rsid w:val="0056029B"/>
    <w:rsid w:val="00577CD8"/>
    <w:rsid w:val="00587588"/>
    <w:rsid w:val="00587B63"/>
    <w:rsid w:val="005967B6"/>
    <w:rsid w:val="00597933"/>
    <w:rsid w:val="005A2FA8"/>
    <w:rsid w:val="005B3427"/>
    <w:rsid w:val="005C7953"/>
    <w:rsid w:val="005D0EA4"/>
    <w:rsid w:val="005E47BA"/>
    <w:rsid w:val="0060427B"/>
    <w:rsid w:val="00604A95"/>
    <w:rsid w:val="006101C6"/>
    <w:rsid w:val="0062072B"/>
    <w:rsid w:val="0065413A"/>
    <w:rsid w:val="0066049D"/>
    <w:rsid w:val="00667E7D"/>
    <w:rsid w:val="00673A2E"/>
    <w:rsid w:val="00674BD9"/>
    <w:rsid w:val="00680095"/>
    <w:rsid w:val="00681F25"/>
    <w:rsid w:val="006B1667"/>
    <w:rsid w:val="006B393A"/>
    <w:rsid w:val="006B566D"/>
    <w:rsid w:val="006B5F1F"/>
    <w:rsid w:val="006C22D5"/>
    <w:rsid w:val="006D5ED3"/>
    <w:rsid w:val="00700383"/>
    <w:rsid w:val="00710283"/>
    <w:rsid w:val="00714951"/>
    <w:rsid w:val="00731C4C"/>
    <w:rsid w:val="00737F1A"/>
    <w:rsid w:val="0074795C"/>
    <w:rsid w:val="00754B48"/>
    <w:rsid w:val="00770BDF"/>
    <w:rsid w:val="007779CC"/>
    <w:rsid w:val="00783B2B"/>
    <w:rsid w:val="00785A5A"/>
    <w:rsid w:val="007A1F2A"/>
    <w:rsid w:val="007B43B5"/>
    <w:rsid w:val="00806578"/>
    <w:rsid w:val="00813A8C"/>
    <w:rsid w:val="0082060A"/>
    <w:rsid w:val="00841971"/>
    <w:rsid w:val="00842F5C"/>
    <w:rsid w:val="00843EA0"/>
    <w:rsid w:val="00845C04"/>
    <w:rsid w:val="00855B79"/>
    <w:rsid w:val="0085685E"/>
    <w:rsid w:val="00862199"/>
    <w:rsid w:val="0086302C"/>
    <w:rsid w:val="00877547"/>
    <w:rsid w:val="008C1458"/>
    <w:rsid w:val="008D1697"/>
    <w:rsid w:val="008D3473"/>
    <w:rsid w:val="008D594A"/>
    <w:rsid w:val="008D5B51"/>
    <w:rsid w:val="008E2B15"/>
    <w:rsid w:val="00901DA9"/>
    <w:rsid w:val="009111CF"/>
    <w:rsid w:val="00912E34"/>
    <w:rsid w:val="00917353"/>
    <w:rsid w:val="0092386A"/>
    <w:rsid w:val="00923DAF"/>
    <w:rsid w:val="009328B6"/>
    <w:rsid w:val="00935480"/>
    <w:rsid w:val="00960937"/>
    <w:rsid w:val="00965878"/>
    <w:rsid w:val="00972423"/>
    <w:rsid w:val="00984E78"/>
    <w:rsid w:val="009A662A"/>
    <w:rsid w:val="009B48B8"/>
    <w:rsid w:val="009D463C"/>
    <w:rsid w:val="009D546E"/>
    <w:rsid w:val="009D6071"/>
    <w:rsid w:val="009D6CBD"/>
    <w:rsid w:val="009F32BA"/>
    <w:rsid w:val="009F57B7"/>
    <w:rsid w:val="00A03FCC"/>
    <w:rsid w:val="00A04C63"/>
    <w:rsid w:val="00A07E51"/>
    <w:rsid w:val="00A51660"/>
    <w:rsid w:val="00A767BF"/>
    <w:rsid w:val="00A77B29"/>
    <w:rsid w:val="00A80F76"/>
    <w:rsid w:val="00AA0343"/>
    <w:rsid w:val="00AA16B1"/>
    <w:rsid w:val="00AC4743"/>
    <w:rsid w:val="00AC4FF6"/>
    <w:rsid w:val="00AC6171"/>
    <w:rsid w:val="00AC7064"/>
    <w:rsid w:val="00AD4497"/>
    <w:rsid w:val="00AD466D"/>
    <w:rsid w:val="00AD57E9"/>
    <w:rsid w:val="00AE0050"/>
    <w:rsid w:val="00AE009B"/>
    <w:rsid w:val="00AE2C55"/>
    <w:rsid w:val="00AE565A"/>
    <w:rsid w:val="00AF42F0"/>
    <w:rsid w:val="00B17A0A"/>
    <w:rsid w:val="00B2763F"/>
    <w:rsid w:val="00B27FDA"/>
    <w:rsid w:val="00B37D97"/>
    <w:rsid w:val="00B422CC"/>
    <w:rsid w:val="00B54BA9"/>
    <w:rsid w:val="00B71E64"/>
    <w:rsid w:val="00B76C43"/>
    <w:rsid w:val="00B80D41"/>
    <w:rsid w:val="00B87DB2"/>
    <w:rsid w:val="00BC0370"/>
    <w:rsid w:val="00BD0E7D"/>
    <w:rsid w:val="00BD15BE"/>
    <w:rsid w:val="00BE7C0F"/>
    <w:rsid w:val="00C00883"/>
    <w:rsid w:val="00C045C9"/>
    <w:rsid w:val="00C41FC1"/>
    <w:rsid w:val="00C4672B"/>
    <w:rsid w:val="00C554DF"/>
    <w:rsid w:val="00C704DC"/>
    <w:rsid w:val="00C7583C"/>
    <w:rsid w:val="00C77263"/>
    <w:rsid w:val="00C8060B"/>
    <w:rsid w:val="00C862D3"/>
    <w:rsid w:val="00C94576"/>
    <w:rsid w:val="00CA2ADF"/>
    <w:rsid w:val="00CB1F38"/>
    <w:rsid w:val="00CD3343"/>
    <w:rsid w:val="00CE7D0E"/>
    <w:rsid w:val="00D049F5"/>
    <w:rsid w:val="00D12C9E"/>
    <w:rsid w:val="00D239DE"/>
    <w:rsid w:val="00D2556F"/>
    <w:rsid w:val="00D34002"/>
    <w:rsid w:val="00D35226"/>
    <w:rsid w:val="00D354CC"/>
    <w:rsid w:val="00D51D16"/>
    <w:rsid w:val="00D538BD"/>
    <w:rsid w:val="00D57782"/>
    <w:rsid w:val="00D63126"/>
    <w:rsid w:val="00D64C90"/>
    <w:rsid w:val="00D665CD"/>
    <w:rsid w:val="00D70B51"/>
    <w:rsid w:val="00D71D31"/>
    <w:rsid w:val="00D76028"/>
    <w:rsid w:val="00D85A87"/>
    <w:rsid w:val="00D9157E"/>
    <w:rsid w:val="00DA12FB"/>
    <w:rsid w:val="00DA3AC3"/>
    <w:rsid w:val="00DB7FCC"/>
    <w:rsid w:val="00DC47E0"/>
    <w:rsid w:val="00DE729E"/>
    <w:rsid w:val="00DE75E6"/>
    <w:rsid w:val="00DF4031"/>
    <w:rsid w:val="00DF5BE5"/>
    <w:rsid w:val="00DF750C"/>
    <w:rsid w:val="00E10DD5"/>
    <w:rsid w:val="00E14B01"/>
    <w:rsid w:val="00E20A1B"/>
    <w:rsid w:val="00E401E6"/>
    <w:rsid w:val="00E40ED1"/>
    <w:rsid w:val="00E433B2"/>
    <w:rsid w:val="00E44BA6"/>
    <w:rsid w:val="00E52266"/>
    <w:rsid w:val="00E52889"/>
    <w:rsid w:val="00E61009"/>
    <w:rsid w:val="00E6320A"/>
    <w:rsid w:val="00E643E2"/>
    <w:rsid w:val="00E652DF"/>
    <w:rsid w:val="00E721AB"/>
    <w:rsid w:val="00E85276"/>
    <w:rsid w:val="00E901E4"/>
    <w:rsid w:val="00E94B33"/>
    <w:rsid w:val="00EA5552"/>
    <w:rsid w:val="00EA7180"/>
    <w:rsid w:val="00EB4E46"/>
    <w:rsid w:val="00EB5D3C"/>
    <w:rsid w:val="00EB7758"/>
    <w:rsid w:val="00ED3F8E"/>
    <w:rsid w:val="00EE5A92"/>
    <w:rsid w:val="00EF6F42"/>
    <w:rsid w:val="00F00A58"/>
    <w:rsid w:val="00F015B2"/>
    <w:rsid w:val="00F06506"/>
    <w:rsid w:val="00F10D7E"/>
    <w:rsid w:val="00F22277"/>
    <w:rsid w:val="00F232EB"/>
    <w:rsid w:val="00F27BC7"/>
    <w:rsid w:val="00F33A46"/>
    <w:rsid w:val="00F35110"/>
    <w:rsid w:val="00F52DE9"/>
    <w:rsid w:val="00F67B38"/>
    <w:rsid w:val="00F75C7B"/>
    <w:rsid w:val="00F7772A"/>
    <w:rsid w:val="00F83087"/>
    <w:rsid w:val="00F85D93"/>
    <w:rsid w:val="00F959CE"/>
    <w:rsid w:val="00F95A75"/>
    <w:rsid w:val="00FA7FE1"/>
    <w:rsid w:val="00FB6F4C"/>
    <w:rsid w:val="00FD4208"/>
    <w:rsid w:val="00FE7F1F"/>
    <w:rsid w:val="00FF19EE"/>
    <w:rsid w:val="00FF427F"/>
    <w:rsid w:val="01790D18"/>
    <w:rsid w:val="0E1331EC"/>
    <w:rsid w:val="11A51AC2"/>
    <w:rsid w:val="127E70F0"/>
    <w:rsid w:val="141B7793"/>
    <w:rsid w:val="14D62568"/>
    <w:rsid w:val="18C45DF2"/>
    <w:rsid w:val="18D576C9"/>
    <w:rsid w:val="1C5B20D6"/>
    <w:rsid w:val="1C987838"/>
    <w:rsid w:val="1D3A4920"/>
    <w:rsid w:val="1DF625FB"/>
    <w:rsid w:val="202042A9"/>
    <w:rsid w:val="24872877"/>
    <w:rsid w:val="25AA7995"/>
    <w:rsid w:val="27B106C6"/>
    <w:rsid w:val="2C772B92"/>
    <w:rsid w:val="2F747B39"/>
    <w:rsid w:val="36402EC4"/>
    <w:rsid w:val="36620CC0"/>
    <w:rsid w:val="39CF47DA"/>
    <w:rsid w:val="39DE3B7B"/>
    <w:rsid w:val="3BC900F9"/>
    <w:rsid w:val="3E6350B2"/>
    <w:rsid w:val="3F524F8F"/>
    <w:rsid w:val="4021663B"/>
    <w:rsid w:val="469F68E0"/>
    <w:rsid w:val="55920551"/>
    <w:rsid w:val="570C6CFC"/>
    <w:rsid w:val="5A452253"/>
    <w:rsid w:val="5B663F46"/>
    <w:rsid w:val="5CBA3BBE"/>
    <w:rsid w:val="5DB549BD"/>
    <w:rsid w:val="5F4B73FF"/>
    <w:rsid w:val="623E5D6C"/>
    <w:rsid w:val="629D22A4"/>
    <w:rsid w:val="63BF4A1A"/>
    <w:rsid w:val="65336FCC"/>
    <w:rsid w:val="68CD2E01"/>
    <w:rsid w:val="68F0582B"/>
    <w:rsid w:val="6AAA6CCA"/>
    <w:rsid w:val="6B2E3BA7"/>
    <w:rsid w:val="77471B72"/>
    <w:rsid w:val="7AC45324"/>
    <w:rsid w:val="7F894542"/>
    <w:rsid w:val="7F8D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b/>
      <w:bCs/>
      <w:kern w:val="44"/>
      <w:sz w:val="44"/>
      <w:szCs w:val="44"/>
    </w:rPr>
  </w:style>
  <w:style w:type="paragraph" w:styleId="4">
    <w:name w:val="heading 2"/>
    <w:basedOn w:val="5"/>
    <w:next w:val="5"/>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w:basedOn w:val="1"/>
    <w:link w:val="21"/>
    <w:unhideWhenUsed/>
    <w:qFormat/>
    <w:uiPriority w:val="99"/>
    <w:rPr>
      <w:rFonts w:ascii="宋体" w:hAnsiTheme="minorHAnsi" w:eastAsiaTheme="minorEastAsia" w:cstheme="minorBidi"/>
      <w:sz w:val="24"/>
    </w:r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paragraph" w:styleId="11">
    <w:name w:val="Title"/>
    <w:basedOn w:val="1"/>
    <w:next w:val="1"/>
    <w:link w:val="20"/>
    <w:qFormat/>
    <w:uiPriority w:val="0"/>
    <w:pPr>
      <w:spacing w:before="240" w:after="60"/>
      <w:jc w:val="center"/>
      <w:outlineLvl w:val="0"/>
    </w:pPr>
    <w:rPr>
      <w:rFonts w:ascii="Cambria" w:hAnsi="Cambria" w:eastAsia="方正小标宋简体" w:cs="Times New Roman"/>
      <w:b/>
      <w:bCs/>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标题 1 Char"/>
    <w:basedOn w:val="14"/>
    <w:link w:val="3"/>
    <w:qFormat/>
    <w:uiPriority w:val="9"/>
    <w:rPr>
      <w:rFonts w:eastAsia="宋体"/>
      <w:b/>
      <w:bCs/>
      <w:kern w:val="44"/>
      <w:sz w:val="44"/>
      <w:szCs w:val="44"/>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框文本 Char"/>
    <w:basedOn w:val="14"/>
    <w:link w:val="7"/>
    <w:semiHidden/>
    <w:qFormat/>
    <w:uiPriority w:val="99"/>
    <w:rPr>
      <w:sz w:val="18"/>
      <w:szCs w:val="18"/>
    </w:rPr>
  </w:style>
  <w:style w:type="character" w:customStyle="1" w:styleId="20">
    <w:name w:val="标题 Char"/>
    <w:basedOn w:val="14"/>
    <w:link w:val="11"/>
    <w:qFormat/>
    <w:uiPriority w:val="0"/>
    <w:rPr>
      <w:rFonts w:ascii="Cambria" w:hAnsi="Cambria" w:eastAsia="方正小标宋简体"/>
      <w:b/>
      <w:bCs/>
      <w:kern w:val="2"/>
      <w:sz w:val="32"/>
      <w:szCs w:val="32"/>
    </w:rPr>
  </w:style>
  <w:style w:type="character" w:customStyle="1" w:styleId="21">
    <w:name w:val="正文文本 Char"/>
    <w:basedOn w:val="14"/>
    <w:link w:val="6"/>
    <w:qFormat/>
    <w:uiPriority w:val="99"/>
    <w:rPr>
      <w:rFonts w:ascii="宋体" w:hAnsiTheme="minorHAnsi" w:eastAsiaTheme="minorEastAsia" w:cstheme="minorBidi"/>
      <w:kern w:val="2"/>
      <w:sz w:val="24"/>
      <w:szCs w:val="22"/>
    </w:rPr>
  </w:style>
  <w:style w:type="paragraph" w:styleId="22">
    <w:name w:val="List Paragraph"/>
    <w:basedOn w:val="1"/>
    <w:unhideWhenUsed/>
    <w:qFormat/>
    <w:uiPriority w:val="99"/>
    <w:pPr>
      <w:ind w:firstLine="420" w:firstLineChars="200"/>
    </w:pPr>
  </w:style>
  <w:style w:type="paragraph" w:customStyle="1" w:styleId="23">
    <w:name w:val="正文 New New New New New New New New New"/>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24">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4"/>
    </w:rPr>
  </w:style>
  <w:style w:type="paragraph" w:customStyle="1" w:styleId="25">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6">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7">
    <w:name w:val="Table Paragraph"/>
    <w:basedOn w:val="1"/>
    <w:qFormat/>
    <w:uiPriority w:val="1"/>
    <w:pPr>
      <w:autoSpaceDE w:val="0"/>
      <w:autoSpaceDN w:val="0"/>
      <w:adjustRightInd w:val="0"/>
      <w:jc w:val="left"/>
    </w:pPr>
    <w:rPr>
      <w:rFonts w:eastAsia="宋体"/>
      <w:kern w:val="0"/>
      <w:sz w:val="24"/>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6D148-545F-4857-BDAD-11D14E468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638</Words>
  <Characters>3637</Characters>
  <Lines>30</Lines>
  <Paragraphs>8</Paragraphs>
  <TotalTime>4</TotalTime>
  <ScaleCrop>false</ScaleCrop>
  <LinksUpToDate>false</LinksUpToDate>
  <CharactersWithSpaces>4267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2019-10-31T02:40:00Z</dcterms:created>
  <dc:creator>wangh</dc:creator>
  <cp:lastModifiedBy>Administrator</cp:lastModifiedBy>
  <cp:lastPrinted>2020-08-17T07:49:00Z</cp:lastPrinted>
  <dcterms:modified xsi:type="dcterms:W3CDTF">2020-10-28T07:17:59Z</dcterms:modified>
  <dc:title>湖北省省级政府采购需求公示</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