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sz w:val="24"/>
          <w:szCs w:val="24"/>
        </w:rPr>
      </w:pPr>
      <w:r>
        <w:rPr>
          <w:sz w:val="24"/>
          <w:szCs w:val="24"/>
        </w:rPr>
        <w:t>附件</w:t>
      </w:r>
      <w:r>
        <w:rPr>
          <w:rFonts w:hint="eastAsia"/>
          <w:sz w:val="24"/>
          <w:szCs w:val="24"/>
        </w:rPr>
        <w:t>一</w:t>
      </w:r>
      <w:r>
        <w:rPr>
          <w:sz w:val="24"/>
          <w:szCs w:val="24"/>
        </w:rPr>
        <w:t>：项目采购需求：</w:t>
      </w:r>
    </w:p>
    <w:p>
      <w:pPr>
        <w:keepNext w:val="0"/>
        <w:keepLines w:val="0"/>
        <w:widowControl/>
        <w:suppressLineNumbers w:val="0"/>
        <w:jc w:val="left"/>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一</w:t>
      </w:r>
      <w:r>
        <w:rPr>
          <w:rFonts w:hint="eastAsia" w:ascii="黑体" w:hAnsi="黑体" w:eastAsia="黑体" w:cs="黑体"/>
          <w:color w:val="000000"/>
          <w:kern w:val="0"/>
          <w:sz w:val="32"/>
          <w:szCs w:val="32"/>
          <w:lang w:val="en-US" w:eastAsia="zh-CN" w:bidi="ar"/>
        </w:rPr>
        <w:t>、</w:t>
      </w:r>
      <w:r>
        <w:rPr>
          <w:rFonts w:hint="eastAsia" w:ascii="黑体" w:hAnsi="黑体" w:eastAsia="黑体" w:cs="黑体"/>
          <w:color w:val="000000" w:themeColor="text1"/>
          <w:sz w:val="32"/>
          <w:szCs w:val="32"/>
          <w:lang w:val="en-US" w:eastAsia="zh-CN"/>
        </w:rPr>
        <w:t>概况</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黑体" w:hAnsi="黑体" w:eastAsia="黑体"/>
          <w:color w:val="000000" w:themeColor="text1"/>
          <w:lang w:val="en-US" w:eastAsia="zh-CN"/>
        </w:rPr>
        <w:t>1</w:t>
      </w:r>
      <w:r>
        <w:rPr>
          <w:rFonts w:hint="eastAsia" w:ascii="宋体" w:hAnsi="宋体" w:eastAsia="宋体" w:cs="宋体"/>
          <w:color w:val="000000"/>
          <w:kern w:val="0"/>
          <w:sz w:val="24"/>
          <w:szCs w:val="24"/>
          <w:lang w:val="en-US" w:eastAsia="zh-CN" w:bidi="ar"/>
        </w:rPr>
        <w:t>、采购项目名称：阳新县税务局干部职工2020年体检服务项目</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2、采购预算：78.97万元</w:t>
      </w:r>
    </w:p>
    <w:p>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3、参检人数及分组：总人数820人，其中男541人（在职男393人，退休男148人），女279（在职女163人，退休女116人）人。</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黑体" w:hAnsi="黑体" w:eastAsia="黑体" w:cs="黑体"/>
          <w:color w:val="000000"/>
          <w:kern w:val="0"/>
          <w:sz w:val="30"/>
          <w:szCs w:val="30"/>
          <w:lang w:val="en-US" w:eastAsia="zh-CN" w:bidi="ar"/>
        </w:rPr>
      </w:pPr>
      <w:r>
        <w:rPr>
          <w:rFonts w:hint="eastAsia" w:ascii="黑体" w:hAnsi="黑体" w:eastAsia="黑体" w:cs="黑体"/>
          <w:color w:val="000000"/>
          <w:kern w:val="0"/>
          <w:sz w:val="30"/>
          <w:szCs w:val="30"/>
          <w:lang w:val="en-US" w:eastAsia="zh-CN" w:bidi="ar"/>
        </w:rPr>
        <w:t>二、体检项目</w:t>
      </w:r>
    </w:p>
    <w:tbl>
      <w:tblPr>
        <w:tblStyle w:val="10"/>
        <w:tblW w:w="9094" w:type="dxa"/>
        <w:tblInd w:w="0" w:type="dxa"/>
        <w:shd w:val="clear" w:color="auto" w:fill="auto"/>
        <w:tblLayout w:type="fixed"/>
        <w:tblCellMar>
          <w:top w:w="0" w:type="dxa"/>
          <w:left w:w="0" w:type="dxa"/>
          <w:bottom w:w="0" w:type="dxa"/>
          <w:right w:w="0" w:type="dxa"/>
        </w:tblCellMar>
      </w:tblPr>
      <w:tblGrid>
        <w:gridCol w:w="750"/>
        <w:gridCol w:w="2010"/>
        <w:gridCol w:w="6334"/>
      </w:tblGrid>
      <w:tr>
        <w:tblPrEx>
          <w:shd w:val="clear" w:color="auto" w:fill="auto"/>
          <w:tblCellMar>
            <w:top w:w="0" w:type="dxa"/>
            <w:left w:w="0" w:type="dxa"/>
            <w:bottom w:w="0" w:type="dxa"/>
            <w:right w:w="0" w:type="dxa"/>
          </w:tblCellMar>
        </w:tblPrEx>
        <w:trPr>
          <w:trHeight w:val="4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6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项目意义</w:t>
            </w:r>
          </w:p>
        </w:tc>
      </w:tr>
      <w:tr>
        <w:tblPrEx>
          <w:shd w:val="clear" w:color="auto" w:fill="auto"/>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1</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一般情况</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测量身高、体重、体重指数，有无高血压。</w:t>
            </w:r>
          </w:p>
        </w:tc>
      </w:tr>
      <w:tr>
        <w:tblPrEx>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2</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内科检查</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专科医生听诊触诊方式检查心、肺、肝、神经系统有无异常</w:t>
            </w:r>
          </w:p>
        </w:tc>
      </w:tr>
      <w:tr>
        <w:tblPrEx>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3</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外科检查（男）</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专科医生对甲状腺、淋巴结、四肢皮肤、脊柱、外生殖器检查，诊断有否外科疾病</w:t>
            </w:r>
          </w:p>
        </w:tc>
      </w:tr>
      <w:tr>
        <w:tblPrEx>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4</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外科检查（女）</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专科医生对甲状腺、乳房、淋巴结皮肤、脊柱、外生殖器检查，诊断有否外科疾病</w:t>
            </w:r>
          </w:p>
        </w:tc>
      </w:tr>
      <w:tr>
        <w:tblPrEx>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5</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妇科常规检查</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检查外阴病变，子宫及附件有无肿块、盆腔内炎症等，并进行白带常规检查</w:t>
            </w: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6</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宫颈细胞检测（TCT）</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宫颈脱落细胞变异检查，炎症筛查，宫颈、卵巢癌的早期诊断</w:t>
            </w:r>
          </w:p>
        </w:tc>
      </w:tr>
      <w:tr>
        <w:tblPrEx>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7</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心电图</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检查心脏基本功能、初步诊断心功能不全、缺血等心脏病变。</w:t>
            </w: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8</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腹部彩超</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检查肝、胆、脾、胰、肾等器官有无病变，排查结石、囊肿、肿瘤、炎症，是重要的内脏检查项目。</w:t>
            </w:r>
          </w:p>
        </w:tc>
      </w:tr>
      <w:tr>
        <w:tblPrEx>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9</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前列腺彩超</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了解前列腺的大小、质地，有无钙化、肿大、占位病变等。</w:t>
            </w:r>
          </w:p>
        </w:tc>
      </w:tr>
      <w:tr>
        <w:tblPrEx>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10</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女性盆腔彩超</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检查有无子宫肌瘤、子宫畸形、卵巢囊肿、盆腔内炎性肿块或肿瘤等。</w:t>
            </w:r>
          </w:p>
        </w:tc>
      </w:tr>
      <w:tr>
        <w:tblPrEx>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11</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心脏彩超</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能准确诊断心脏结构缺损、心脏泵血功能异常及心血管病变。</w:t>
            </w:r>
          </w:p>
        </w:tc>
      </w:tr>
      <w:tr>
        <w:tblPrEx>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12</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甲状腺彩超</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甲状腺有无肿大、结节、肿瘤及占位等疾病。</w:t>
            </w:r>
          </w:p>
        </w:tc>
      </w:tr>
      <w:tr>
        <w:tblPrEx>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13</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乳腺彩超</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检查乳腺增生、炎症、囊肿、纤维瘤及乳腺占位等疾病。</w:t>
            </w:r>
          </w:p>
        </w:tc>
      </w:tr>
      <w:tr>
        <w:tblPrEx>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14</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碳十四呼气试验</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检查胃肠道是否有幽门螺杆菌感染，有感染后可引起胃炎、胃溃疡、胃癌等</w:t>
            </w:r>
          </w:p>
        </w:tc>
      </w:tr>
      <w:tr>
        <w:tblPrEx>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15</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骨密度</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诊断有无骨质减少、骨质疏松、预测骨折危险性</w:t>
            </w:r>
          </w:p>
        </w:tc>
      </w:tr>
      <w:tr>
        <w:tblPrEx>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16</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经颅多普勒</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探测颅内重要血管有无狭窄、闭塞及脑动脉痉挛。排查脑中风、顽固头昏头痛隐患</w:t>
            </w:r>
          </w:p>
        </w:tc>
      </w:tr>
      <w:tr>
        <w:tblPrEx>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17</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动脉硬化检测</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动脉僵硬度检查，能早期诊断动脉硬化、心梗、血管栓塞。</w:t>
            </w:r>
          </w:p>
        </w:tc>
      </w:tr>
      <w:tr>
        <w:tblPrEx>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18</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静脉采血</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采集血液标本的一次性无菌器具。</w:t>
            </w:r>
          </w:p>
        </w:tc>
      </w:tr>
      <w:tr>
        <w:tblPrEx>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19</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血常规（五分类）</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了解是否有细菌、病毒感染、各型贫血、血小板减少及其他血液疾病等。</w:t>
            </w:r>
          </w:p>
        </w:tc>
      </w:tr>
      <w:tr>
        <w:tblPrEx>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20</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尿常规</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了解是否患有泌尿系统感染，肾炎、内分泌疾患及黄疸等疾病。</w:t>
            </w:r>
          </w:p>
        </w:tc>
      </w:tr>
      <w:tr>
        <w:tblPrEx>
          <w:tblCellMar>
            <w:top w:w="0" w:type="dxa"/>
            <w:left w:w="0" w:type="dxa"/>
            <w:bottom w:w="0" w:type="dxa"/>
            <w:right w:w="0" w:type="dxa"/>
          </w:tblCellMar>
        </w:tblPrEx>
        <w:trPr>
          <w:trHeight w:val="142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21</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肝功11项</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丙氨酸氨基转移酶（ALT）、天门冬氨酸氨基转氨酶（AST）、γ-谷氨酰基转移酶（GGT）、碱性磷酸酶（ALP）、总蛋白（TPO）、白蛋白（ALB）、球蛋白（GLO）、白蛋白/球蛋白（A/G）、总胆红素（TBIL）、直接胆红素（DBIL）、间接胆红素（IBIL）反映肝肝脏功能是否损害及损害程度，胆汁分泌排泻和蛋白系统状况和功能。是完整检查肝脏功能的项目，推荐检查。</w:t>
            </w:r>
          </w:p>
        </w:tc>
      </w:tr>
      <w:tr>
        <w:tblPrEx>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22</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血脂4项</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胆固醇、甘油三脂、高、低密度脂蛋白检查，更能反映异常血脂对人体的危害程度</w:t>
            </w:r>
          </w:p>
        </w:tc>
      </w:tr>
      <w:tr>
        <w:tblPrEx>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23</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空腹血糖</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筛查糖尿病。</w:t>
            </w:r>
          </w:p>
        </w:tc>
      </w:tr>
      <w:tr>
        <w:tblPrEx>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24</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肾功能三项</w:t>
            </w:r>
          </w:p>
        </w:tc>
        <w:tc>
          <w:tcPr>
            <w:tcW w:w="6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了解肾脏损害情况，并反映血液尿酸水平用以判断痛风的可能。</w:t>
            </w:r>
          </w:p>
        </w:tc>
      </w:tr>
      <w:tr>
        <w:tblPrEx>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25</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甲状腺功能3项</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用于检查甲状腺功能，是诊断甲亢或甲减的依据。</w:t>
            </w: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26</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胃功能四项（PG、G-17）</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联合检测对胃功能不良、胃粘膜损伤的各种胃病有较全面的诊断意义，对胃粘膜萎缩或变异的胃癌和癌前病变风险可以有效的提示。</w:t>
            </w:r>
          </w:p>
        </w:tc>
      </w:tr>
      <w:tr>
        <w:tblPrEx>
          <w:tblCellMar>
            <w:top w:w="0" w:type="dxa"/>
            <w:left w:w="0" w:type="dxa"/>
            <w:bottom w:w="0" w:type="dxa"/>
            <w:right w:w="0" w:type="dxa"/>
          </w:tblCellMar>
        </w:tblPrEx>
        <w:trPr>
          <w:trHeight w:val="3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27</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甲胎蛋白(发光)</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AFP是早期诊断原发性肝癌最敏感、最特异的指标，适用于大规模普查</w:t>
            </w:r>
          </w:p>
        </w:tc>
      </w:tr>
      <w:tr>
        <w:tblPrEx>
          <w:tblCellMar>
            <w:top w:w="0" w:type="dxa"/>
            <w:left w:w="0" w:type="dxa"/>
            <w:bottom w:w="0" w:type="dxa"/>
            <w:right w:w="0" w:type="dxa"/>
          </w:tblCellMar>
        </w:tblPrEx>
        <w:trPr>
          <w:trHeight w:val="3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28</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癌胚抗原（发光）</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胃癌（60-90％）、胰腺癌（70-80％）、肺癌、肝癌等广谱肿瘤标志物</w:t>
            </w:r>
          </w:p>
        </w:tc>
      </w:tr>
      <w:tr>
        <w:tblPrEx>
          <w:tblCellMar>
            <w:top w:w="0" w:type="dxa"/>
            <w:left w:w="0" w:type="dxa"/>
            <w:bottom w:w="0" w:type="dxa"/>
            <w:right w:w="0" w:type="dxa"/>
          </w:tblCellMar>
        </w:tblPrEx>
        <w:trPr>
          <w:trHeight w:val="3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29</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癌抗原15-3</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CA15—3是乳腺癌的最重要的特异性标志物。</w:t>
            </w: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30</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游离前列腺特异性抗原</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用于前列腺癌筛查、前列腺癌与前列腺增生的鉴别。</w:t>
            </w:r>
          </w:p>
        </w:tc>
      </w:tr>
      <w:tr>
        <w:tblPrEx>
          <w:tblCellMar>
            <w:top w:w="0" w:type="dxa"/>
            <w:left w:w="0" w:type="dxa"/>
            <w:bottom w:w="0" w:type="dxa"/>
            <w:right w:w="0" w:type="dxa"/>
          </w:tblCellMar>
        </w:tblPrEx>
        <w:trPr>
          <w:trHeight w:val="3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31</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乙肝五项（定性）</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筛查乙型肝炎病毒感染，也可反映对乙肝有否抗体。</w:t>
            </w: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32</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螺旋CT（头颅）（不出片）</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立体、全面了解拍摄头部是否有异常，排查脑萎缩、脑损伤、脑肿瘤，比电子DR摄片更清晰准确。</w:t>
            </w: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33</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螺旋CT（胸部）（不出片）</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30秒钟快速检查胸部病变，疫情期间可筛查肺部感染</w:t>
            </w: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35</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新冠病毒特异性总抗体检测IGM+IGG</w:t>
            </w:r>
          </w:p>
        </w:tc>
        <w:tc>
          <w:tcPr>
            <w:tcW w:w="63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通过血液快速检测是否有新冠病毒感染。IGG阳性多提示现症感染。IGM阳性多提示既往感染。</w:t>
            </w: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36</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健康档案</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历年体检报告永久保存、异常汇总、报告对比分析、让专属私人医生更懂你（有效期：自收到体检报告短信第二日起365天）</w:t>
            </w: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37</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健康促进</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制定个性化方案、定期回访、根据您的健康状况，随时调整（有效期：自收到体检报告短信第二日起365天）</w:t>
            </w:r>
          </w:p>
        </w:tc>
      </w:tr>
      <w:tr>
        <w:tblPrEx>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38</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健康教育</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资讯再多，不如懂你（所需），告别长篇大论，3-5分钟精华讲解（有效期：自收到体检报告短信第二日起365天）</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39</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免费早餐</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免费早餐</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40</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体检报告</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体检报告</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41</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报告解读</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专家免费报告解读</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42</w:t>
            </w:r>
          </w:p>
        </w:tc>
        <w:tc>
          <w:tcPr>
            <w:tcW w:w="20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电话追访</w:t>
            </w:r>
          </w:p>
        </w:tc>
        <w:tc>
          <w:tcPr>
            <w:tcW w:w="6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阳性结果电话追访</w:t>
            </w:r>
          </w:p>
        </w:tc>
      </w:tr>
    </w:tbl>
    <w:p>
      <w:pPr>
        <w:spacing w:line="480" w:lineRule="exact"/>
        <w:rPr>
          <w:rFonts w:hint="eastAsia" w:ascii="宋体" w:hAnsi="宋体" w:eastAsia="宋体" w:cs="宋体"/>
          <w:b/>
          <w:color w:val="000000" w:themeColor="text1"/>
          <w:sz w:val="24"/>
          <w:szCs w:val="24"/>
          <w:highlight w:val="none"/>
          <w:shd w:val="clear" w:color="auto" w:fill="FFFFFF"/>
        </w:rPr>
      </w:pPr>
    </w:p>
    <w:p>
      <w:pPr>
        <w:numPr>
          <w:ilvl w:val="0"/>
          <w:numId w:val="1"/>
        </w:numPr>
        <w:spacing w:line="480" w:lineRule="exact"/>
        <w:rPr>
          <w:rFonts w:hint="eastAsia" w:ascii="宋体" w:hAnsi="宋体" w:eastAsia="宋体" w:cs="宋体"/>
          <w:b/>
          <w:bCs w:val="0"/>
          <w:color w:val="000000" w:themeColor="text1"/>
          <w:sz w:val="24"/>
          <w:szCs w:val="24"/>
          <w:highlight w:val="none"/>
          <w:shd w:val="clear" w:color="auto" w:fill="FFFFFF"/>
          <w:lang w:eastAsia="zh-CN"/>
        </w:rPr>
      </w:pPr>
      <w:r>
        <w:rPr>
          <w:rFonts w:hint="eastAsia" w:ascii="宋体" w:hAnsi="宋体" w:eastAsia="宋体" w:cs="宋体"/>
          <w:b/>
          <w:bCs w:val="0"/>
          <w:color w:val="000000" w:themeColor="text1"/>
          <w:sz w:val="24"/>
          <w:szCs w:val="24"/>
          <w:highlight w:val="none"/>
          <w:shd w:val="clear" w:color="auto" w:fill="FFFFFF"/>
          <w:lang w:eastAsia="zh-CN"/>
        </w:rPr>
        <w:t>体检医护人员及检查设备需求</w:t>
      </w:r>
    </w:p>
    <w:p>
      <w:pPr>
        <w:numPr>
          <w:ilvl w:val="0"/>
          <w:numId w:val="2"/>
        </w:numPr>
        <w:spacing w:line="480" w:lineRule="exact"/>
        <w:rPr>
          <w:rFonts w:hint="eastAsia" w:ascii="宋体" w:hAnsi="宋体" w:eastAsia="宋体" w:cs="宋体"/>
          <w:bCs/>
          <w:color w:val="000000" w:themeColor="text1"/>
          <w:sz w:val="24"/>
          <w:szCs w:val="24"/>
          <w:highlight w:val="none"/>
          <w:shd w:val="clear" w:color="auto" w:fill="FFFFFF"/>
          <w:lang w:val="en-US" w:eastAsia="zh-CN"/>
        </w:rPr>
      </w:pPr>
      <w:r>
        <w:rPr>
          <w:rFonts w:hint="eastAsia" w:ascii="宋体" w:hAnsi="宋体" w:eastAsia="宋体" w:cs="宋体"/>
          <w:bCs/>
          <w:color w:val="000000" w:themeColor="text1"/>
          <w:sz w:val="24"/>
          <w:szCs w:val="24"/>
          <w:highlight w:val="none"/>
          <w:shd w:val="clear" w:color="auto" w:fill="FFFFFF"/>
          <w:lang w:val="en-US" w:eastAsia="zh-CN"/>
        </w:rPr>
        <w:t>拟投入的体检医护人员必须为本单位中级以上职称的正式人员（含退休返聘），人数不少于10人且高级职称比例不少于50%。</w:t>
      </w:r>
    </w:p>
    <w:p>
      <w:pPr>
        <w:numPr>
          <w:ilvl w:val="0"/>
          <w:numId w:val="2"/>
        </w:numPr>
        <w:spacing w:line="480" w:lineRule="exact"/>
        <w:rPr>
          <w:rFonts w:hint="default" w:ascii="宋体" w:hAnsi="宋体" w:eastAsia="宋体" w:cs="宋体"/>
          <w:bCs/>
          <w:color w:val="000000" w:themeColor="text1"/>
          <w:sz w:val="24"/>
          <w:szCs w:val="24"/>
          <w:highlight w:val="none"/>
          <w:shd w:val="clear" w:color="auto" w:fill="FFFFFF"/>
          <w:lang w:val="en-US" w:eastAsia="zh-CN"/>
        </w:rPr>
      </w:pPr>
      <w:r>
        <w:rPr>
          <w:rFonts w:hint="eastAsia" w:ascii="宋体" w:hAnsi="宋体" w:eastAsia="宋体" w:cs="宋体"/>
          <w:bCs/>
          <w:color w:val="000000" w:themeColor="text1"/>
          <w:sz w:val="24"/>
          <w:szCs w:val="24"/>
          <w:highlight w:val="none"/>
          <w:shd w:val="clear" w:color="auto" w:fill="FFFFFF"/>
          <w:lang w:val="en-US" w:eastAsia="zh-CN"/>
        </w:rPr>
        <w:t>国家税务总局阳新县税务局体检人员到体检中心体检期间，体检中心每天应有不少于3名引导人员，负责引导体检人员顺序参检，解答参检人员的相关咨询。应有不少于2名特护工作人员和2部轮椅，负责对行动不便，高龄离退休干部的特护工作。</w:t>
      </w:r>
    </w:p>
    <w:p>
      <w:pPr>
        <w:numPr>
          <w:ilvl w:val="0"/>
          <w:numId w:val="2"/>
        </w:numPr>
        <w:spacing w:line="480" w:lineRule="exact"/>
        <w:rPr>
          <w:rFonts w:hint="default" w:ascii="宋体" w:hAnsi="宋体" w:eastAsia="宋体" w:cs="宋体"/>
          <w:bCs/>
          <w:color w:val="000000" w:themeColor="text1"/>
          <w:sz w:val="24"/>
          <w:szCs w:val="24"/>
          <w:highlight w:val="none"/>
          <w:shd w:val="clear" w:color="auto" w:fill="FFFFFF"/>
          <w:lang w:val="en-US" w:eastAsia="zh-CN"/>
        </w:rPr>
      </w:pPr>
      <w:r>
        <w:rPr>
          <w:rFonts w:hint="eastAsia" w:ascii="宋体" w:hAnsi="宋体" w:eastAsia="宋体" w:cs="宋体"/>
          <w:bCs/>
          <w:color w:val="000000" w:themeColor="text1"/>
          <w:sz w:val="24"/>
          <w:szCs w:val="24"/>
          <w:highlight w:val="none"/>
          <w:shd w:val="clear" w:color="auto" w:fill="FFFFFF"/>
          <w:lang w:val="en-US" w:eastAsia="zh-CN"/>
        </w:rPr>
        <w:t>体检承办单位应具备相应的规模，确保每天能够对50名左右人员在上午11：00前结束全部体检项目，在20个工作日内完成对国家税务总局阳新县税务局集中体检工作。</w:t>
      </w:r>
    </w:p>
    <w:p>
      <w:pPr>
        <w:numPr>
          <w:ilvl w:val="0"/>
          <w:numId w:val="0"/>
        </w:numPr>
        <w:spacing w:line="480" w:lineRule="exact"/>
        <w:rPr>
          <w:rFonts w:hint="eastAsia" w:ascii="宋体" w:hAnsi="宋体" w:eastAsia="宋体" w:cs="宋体"/>
          <w:bCs/>
          <w:color w:val="000000" w:themeColor="text1"/>
          <w:sz w:val="24"/>
          <w:szCs w:val="24"/>
          <w:highlight w:val="none"/>
          <w:shd w:val="clear" w:color="auto" w:fill="FFFFFF"/>
          <w:lang w:val="en-US" w:eastAsia="zh-CN"/>
        </w:rPr>
      </w:pPr>
    </w:p>
    <w:p>
      <w:pPr>
        <w:numPr>
          <w:ilvl w:val="0"/>
          <w:numId w:val="0"/>
        </w:numPr>
        <w:spacing w:line="480" w:lineRule="exact"/>
        <w:rPr>
          <w:rFonts w:hint="eastAsia" w:ascii="宋体" w:hAnsi="宋体" w:eastAsia="宋体" w:cs="宋体"/>
          <w:b/>
          <w:bCs w:val="0"/>
          <w:color w:val="000000" w:themeColor="text1"/>
          <w:sz w:val="24"/>
          <w:szCs w:val="24"/>
          <w:highlight w:val="none"/>
          <w:shd w:val="clear" w:color="auto" w:fill="FFFFFF"/>
          <w:lang w:val="en-US" w:eastAsia="zh-CN"/>
        </w:rPr>
      </w:pPr>
      <w:r>
        <w:rPr>
          <w:rFonts w:hint="eastAsia" w:ascii="宋体" w:hAnsi="宋体" w:eastAsia="宋体" w:cs="宋体"/>
          <w:b/>
          <w:bCs w:val="0"/>
          <w:color w:val="000000" w:themeColor="text1"/>
          <w:sz w:val="24"/>
          <w:szCs w:val="24"/>
          <w:highlight w:val="none"/>
          <w:shd w:val="clear" w:color="auto" w:fill="FFFFFF"/>
          <w:lang w:val="en-US" w:eastAsia="zh-CN"/>
        </w:rPr>
        <w:t>四</w:t>
      </w:r>
      <w:r>
        <w:rPr>
          <w:rFonts w:hint="eastAsia" w:ascii="宋体" w:hAnsi="宋体" w:eastAsia="宋体" w:cs="宋体"/>
          <w:b/>
          <w:bCs w:val="0"/>
          <w:color w:val="000000" w:themeColor="text1"/>
          <w:sz w:val="24"/>
          <w:szCs w:val="24"/>
          <w:highlight w:val="none"/>
          <w:shd w:val="clear" w:color="auto" w:fill="FFFFFF"/>
        </w:rPr>
        <w:t>、</w:t>
      </w:r>
      <w:r>
        <w:rPr>
          <w:rFonts w:hint="eastAsia" w:ascii="宋体" w:hAnsi="宋体" w:eastAsia="宋体" w:cs="宋体"/>
          <w:b/>
          <w:bCs w:val="0"/>
          <w:color w:val="000000" w:themeColor="text1"/>
          <w:sz w:val="24"/>
          <w:szCs w:val="24"/>
          <w:highlight w:val="none"/>
          <w:shd w:val="clear" w:color="auto" w:fill="FFFFFF"/>
          <w:lang w:eastAsia="zh-CN"/>
        </w:rPr>
        <w:t>其他服务要求</w:t>
      </w:r>
    </w:p>
    <w:p>
      <w:pPr>
        <w:spacing w:line="480" w:lineRule="exact"/>
        <w:rPr>
          <w:rFonts w:hint="eastAsia" w:ascii="宋体" w:hAnsi="宋体" w:eastAsia="宋体" w:cs="宋体"/>
          <w:bCs/>
          <w:color w:val="000000" w:themeColor="text1"/>
          <w:sz w:val="24"/>
          <w:szCs w:val="24"/>
          <w:highlight w:val="none"/>
          <w:shd w:val="clear" w:color="auto" w:fill="FFFFFF"/>
          <w:lang w:val="en-US" w:eastAsia="zh-CN"/>
        </w:rPr>
      </w:pPr>
      <w:r>
        <w:rPr>
          <w:rFonts w:hint="eastAsia" w:ascii="宋体" w:hAnsi="宋体" w:eastAsia="宋体" w:cs="宋体"/>
          <w:bCs/>
          <w:color w:val="000000" w:themeColor="text1"/>
          <w:sz w:val="24"/>
          <w:szCs w:val="24"/>
          <w:highlight w:val="none"/>
          <w:shd w:val="clear" w:color="auto" w:fill="FFFFFF"/>
        </w:rPr>
        <w:t>1、</w:t>
      </w:r>
      <w:r>
        <w:rPr>
          <w:rFonts w:hint="eastAsia" w:ascii="宋体" w:hAnsi="宋体" w:eastAsia="宋体" w:cs="宋体"/>
          <w:bCs/>
          <w:color w:val="000000" w:themeColor="text1"/>
          <w:sz w:val="24"/>
          <w:szCs w:val="24"/>
          <w:highlight w:val="none"/>
          <w:shd w:val="clear" w:color="auto" w:fill="FFFFFF"/>
          <w:lang w:eastAsia="zh-CN"/>
        </w:rPr>
        <w:t>服务</w:t>
      </w:r>
      <w:r>
        <w:rPr>
          <w:rFonts w:hint="eastAsia" w:ascii="宋体" w:hAnsi="宋体" w:eastAsia="宋体" w:cs="宋体"/>
          <w:bCs/>
          <w:color w:val="000000" w:themeColor="text1"/>
          <w:sz w:val="24"/>
          <w:szCs w:val="24"/>
          <w:highlight w:val="none"/>
          <w:shd w:val="clear" w:color="auto" w:fill="FFFFFF"/>
        </w:rPr>
        <w:t>时间</w:t>
      </w:r>
      <w:r>
        <w:rPr>
          <w:rFonts w:hint="eastAsia" w:ascii="宋体" w:hAnsi="宋体" w:eastAsia="宋体" w:cs="宋体"/>
          <w:bCs/>
          <w:color w:val="000000" w:themeColor="text1"/>
          <w:sz w:val="24"/>
          <w:szCs w:val="24"/>
          <w:highlight w:val="none"/>
          <w:shd w:val="clear" w:color="auto" w:fill="FFFFFF"/>
          <w:lang w:eastAsia="zh-CN"/>
        </w:rPr>
        <w:t>：</w:t>
      </w:r>
      <w:r>
        <w:rPr>
          <w:rFonts w:hint="eastAsia" w:ascii="宋体" w:hAnsi="宋体" w:eastAsia="宋体" w:cs="宋体"/>
          <w:bCs/>
          <w:color w:val="0000FF"/>
          <w:sz w:val="24"/>
          <w:szCs w:val="24"/>
          <w:highlight w:val="none"/>
          <w:shd w:val="clear" w:color="auto" w:fill="FFFFFF"/>
          <w:lang w:eastAsia="zh-CN"/>
        </w:rPr>
        <w:t>体检</w:t>
      </w:r>
      <w:r>
        <w:rPr>
          <w:rFonts w:hint="eastAsia" w:ascii="宋体" w:hAnsi="宋体" w:eastAsia="宋体" w:cs="宋体"/>
          <w:bCs/>
          <w:color w:val="0000FF"/>
          <w:sz w:val="24"/>
          <w:szCs w:val="24"/>
          <w:highlight w:val="none"/>
          <w:shd w:val="clear" w:color="auto" w:fill="FFFFFF"/>
          <w:lang w:val="en-US" w:eastAsia="zh-CN"/>
        </w:rPr>
        <w:t>实施截止至日期2020年12月15日，集中体检时间不少于20天，12月中旬进行项目验收</w:t>
      </w:r>
    </w:p>
    <w:p>
      <w:pPr>
        <w:spacing w:line="480" w:lineRule="exact"/>
        <w:rPr>
          <w:rFonts w:hint="eastAsia" w:ascii="宋体" w:hAnsi="宋体" w:eastAsia="宋体" w:cs="宋体"/>
          <w:bCs/>
          <w:color w:val="000000" w:themeColor="text1"/>
          <w:sz w:val="24"/>
          <w:szCs w:val="24"/>
          <w:highlight w:val="none"/>
          <w:shd w:val="clear" w:color="auto" w:fill="FFFFFF"/>
          <w:lang w:val="en-US" w:eastAsia="zh-CN"/>
        </w:rPr>
      </w:pPr>
      <w:r>
        <w:rPr>
          <w:rFonts w:hint="eastAsia" w:ascii="宋体" w:hAnsi="宋体" w:eastAsia="宋体" w:cs="宋体"/>
          <w:bCs/>
          <w:color w:val="000000" w:themeColor="text1"/>
          <w:sz w:val="24"/>
          <w:szCs w:val="24"/>
          <w:highlight w:val="none"/>
          <w:shd w:val="clear" w:color="auto" w:fill="FFFFFF"/>
          <w:lang w:val="en-US" w:eastAsia="zh-CN"/>
        </w:rPr>
        <w:t>2</w:t>
      </w:r>
      <w:r>
        <w:rPr>
          <w:rFonts w:hint="eastAsia" w:ascii="宋体" w:hAnsi="宋体" w:eastAsia="宋体" w:cs="宋体"/>
          <w:bCs/>
          <w:color w:val="000000" w:themeColor="text1"/>
          <w:sz w:val="24"/>
          <w:szCs w:val="24"/>
          <w:highlight w:val="none"/>
          <w:shd w:val="clear" w:color="auto" w:fill="FFFFFF"/>
        </w:rPr>
        <w:t>、</w:t>
      </w:r>
      <w:r>
        <w:rPr>
          <w:rFonts w:hint="eastAsia" w:ascii="宋体" w:hAnsi="宋体" w:eastAsia="宋体" w:cs="宋体"/>
          <w:bCs/>
          <w:color w:val="000000" w:themeColor="text1"/>
          <w:sz w:val="24"/>
          <w:szCs w:val="24"/>
          <w:highlight w:val="none"/>
          <w:shd w:val="clear" w:color="auto" w:fill="FFFFFF"/>
          <w:lang w:eastAsia="zh-CN"/>
        </w:rPr>
        <w:t>集中体检期间，体检承办单位应为前往参加体检的干部职工提供大巴车服务（如相距不足</w:t>
      </w:r>
      <w:r>
        <w:rPr>
          <w:rFonts w:hint="eastAsia" w:ascii="宋体" w:hAnsi="宋体" w:eastAsia="宋体" w:cs="宋体"/>
          <w:bCs/>
          <w:color w:val="000000" w:themeColor="text1"/>
          <w:sz w:val="24"/>
          <w:szCs w:val="24"/>
          <w:highlight w:val="none"/>
          <w:shd w:val="clear" w:color="auto" w:fill="FFFFFF"/>
          <w:lang w:val="en-US" w:eastAsia="zh-CN"/>
        </w:rPr>
        <w:t>1000米则免除此项需求），提供早餐，对行动不便，高龄离退体干部提供的轮椅等特护服务.</w:t>
      </w:r>
    </w:p>
    <w:p>
      <w:pPr>
        <w:spacing w:line="480" w:lineRule="exact"/>
        <w:rPr>
          <w:rFonts w:hint="eastAsia" w:ascii="宋体" w:hAnsi="宋体" w:eastAsia="宋体" w:cs="宋体"/>
          <w:bCs/>
          <w:color w:val="000000" w:themeColor="text1"/>
          <w:sz w:val="24"/>
          <w:szCs w:val="24"/>
          <w:highlight w:val="none"/>
          <w:shd w:val="clear" w:color="auto" w:fill="FFFFFF"/>
          <w:lang w:val="en-US" w:eastAsia="zh-CN"/>
        </w:rPr>
      </w:pPr>
      <w:r>
        <w:rPr>
          <w:rFonts w:hint="eastAsia" w:ascii="宋体" w:hAnsi="宋体" w:eastAsia="宋体" w:cs="宋体"/>
          <w:bCs/>
          <w:color w:val="000000" w:themeColor="text1"/>
          <w:sz w:val="24"/>
          <w:szCs w:val="24"/>
          <w:highlight w:val="none"/>
          <w:shd w:val="clear" w:color="auto" w:fill="FFFFFF"/>
          <w:lang w:val="en-US" w:eastAsia="zh-CN"/>
        </w:rPr>
        <w:t>3</w:t>
      </w:r>
      <w:r>
        <w:rPr>
          <w:rFonts w:hint="eastAsia" w:ascii="宋体" w:hAnsi="宋体" w:eastAsia="宋体" w:cs="宋体"/>
          <w:bCs/>
          <w:color w:val="000000" w:themeColor="text1"/>
          <w:sz w:val="24"/>
          <w:szCs w:val="24"/>
          <w:highlight w:val="none"/>
          <w:shd w:val="clear" w:color="auto" w:fill="FFFFFF"/>
        </w:rPr>
        <w:t>、</w:t>
      </w:r>
      <w:r>
        <w:rPr>
          <w:rFonts w:hint="eastAsia" w:ascii="宋体" w:hAnsi="宋体" w:eastAsia="宋体" w:cs="宋体"/>
          <w:bCs/>
          <w:color w:val="000000" w:themeColor="text1"/>
          <w:sz w:val="24"/>
          <w:szCs w:val="24"/>
          <w:highlight w:val="none"/>
          <w:shd w:val="clear" w:color="auto" w:fill="FFFFFF"/>
          <w:lang w:eastAsia="zh-CN"/>
        </w:rPr>
        <w:t>体检承办单位应在体检结束后</w:t>
      </w:r>
      <w:r>
        <w:rPr>
          <w:rFonts w:hint="eastAsia" w:ascii="宋体" w:hAnsi="宋体" w:eastAsia="宋体" w:cs="宋体"/>
          <w:bCs/>
          <w:color w:val="000000" w:themeColor="text1"/>
          <w:sz w:val="24"/>
          <w:szCs w:val="24"/>
          <w:highlight w:val="none"/>
          <w:shd w:val="clear" w:color="auto" w:fill="FFFFFF"/>
          <w:lang w:val="en-US" w:eastAsia="zh-CN"/>
        </w:rPr>
        <w:t>30个日历天内，向用户提交体检纸质报告，具体内容包括个人体检报告，各分项统计报告和总报告。</w:t>
      </w:r>
    </w:p>
    <w:p>
      <w:pPr>
        <w:spacing w:line="480" w:lineRule="exact"/>
        <w:rPr>
          <w:rFonts w:hint="eastAsia" w:ascii="宋体" w:hAnsi="宋体" w:eastAsia="宋体" w:cs="宋体"/>
          <w:bCs/>
          <w:color w:val="000000" w:themeColor="text1"/>
          <w:sz w:val="24"/>
          <w:szCs w:val="24"/>
          <w:highlight w:val="none"/>
          <w:shd w:val="clear" w:color="auto" w:fill="FFFFFF"/>
          <w:lang w:val="en-US" w:eastAsia="zh-CN"/>
        </w:rPr>
      </w:pPr>
      <w:r>
        <w:rPr>
          <w:rFonts w:hint="eastAsia" w:ascii="宋体" w:hAnsi="宋体" w:eastAsia="宋体" w:cs="宋体"/>
          <w:bCs/>
          <w:color w:val="000000" w:themeColor="text1"/>
          <w:sz w:val="24"/>
          <w:szCs w:val="24"/>
          <w:highlight w:val="none"/>
          <w:shd w:val="clear" w:color="auto" w:fill="FFFFFF"/>
          <w:lang w:val="en-US" w:eastAsia="zh-CN"/>
        </w:rPr>
        <w:t>4</w:t>
      </w:r>
      <w:r>
        <w:rPr>
          <w:rFonts w:hint="eastAsia" w:ascii="宋体" w:hAnsi="宋体" w:eastAsia="宋体" w:cs="宋体"/>
          <w:bCs/>
          <w:color w:val="000000" w:themeColor="text1"/>
          <w:sz w:val="24"/>
          <w:szCs w:val="24"/>
          <w:highlight w:val="none"/>
          <w:shd w:val="clear" w:color="auto" w:fill="FFFFFF"/>
        </w:rPr>
        <w:t>、</w:t>
      </w:r>
      <w:r>
        <w:rPr>
          <w:rFonts w:hint="eastAsia" w:ascii="宋体" w:hAnsi="宋体" w:eastAsia="宋体" w:cs="宋体"/>
          <w:bCs/>
          <w:color w:val="000000" w:themeColor="text1"/>
          <w:sz w:val="24"/>
          <w:szCs w:val="24"/>
          <w:highlight w:val="none"/>
          <w:shd w:val="clear" w:color="auto" w:fill="FFFFFF"/>
          <w:lang w:eastAsia="zh-CN"/>
        </w:rPr>
        <w:t>体检</w:t>
      </w:r>
      <w:r>
        <w:rPr>
          <w:rFonts w:hint="eastAsia" w:ascii="宋体" w:hAnsi="宋体" w:eastAsia="宋体" w:cs="宋体"/>
          <w:bCs/>
          <w:color w:val="000000" w:themeColor="text1"/>
          <w:sz w:val="24"/>
          <w:szCs w:val="24"/>
          <w:highlight w:val="none"/>
          <w:shd w:val="clear" w:color="auto" w:fill="FFFFFF"/>
          <w:lang w:val="en-US" w:eastAsia="zh-CN"/>
        </w:rPr>
        <w:t>承办单位在体检结束后，应派出2名副高职称的医师进行体检报告解读，时间应不少于10个工作日。</w:t>
      </w:r>
    </w:p>
    <w:p>
      <w:pPr>
        <w:spacing w:line="480" w:lineRule="exact"/>
        <w:rPr>
          <w:rFonts w:hint="eastAsia" w:ascii="宋体" w:hAnsi="宋体" w:eastAsia="宋体" w:cs="宋体"/>
          <w:bCs/>
          <w:color w:val="000000" w:themeColor="text1"/>
          <w:sz w:val="24"/>
          <w:szCs w:val="24"/>
          <w:highlight w:val="none"/>
          <w:shd w:val="clear" w:color="auto" w:fill="FFFFFF"/>
          <w:lang w:val="en-US" w:eastAsia="zh-CN"/>
        </w:rPr>
      </w:pPr>
      <w:r>
        <w:rPr>
          <w:rFonts w:hint="eastAsia" w:ascii="宋体" w:hAnsi="宋体" w:eastAsia="宋体" w:cs="宋体"/>
          <w:bCs/>
          <w:color w:val="000000" w:themeColor="text1"/>
          <w:sz w:val="24"/>
          <w:szCs w:val="24"/>
          <w:highlight w:val="none"/>
          <w:shd w:val="clear" w:color="auto" w:fill="FFFFFF"/>
          <w:lang w:val="en-US" w:eastAsia="zh-CN"/>
        </w:rPr>
        <w:t>5、体检承办单位应与其所在医院门诊，住院部门有良好的办调机制，对部分职工在体检中筛查出的病情，建立优先诊治和住院治疗的绿色通道。</w:t>
      </w:r>
    </w:p>
    <w:p>
      <w:pPr>
        <w:spacing w:line="480" w:lineRule="exact"/>
        <w:rPr>
          <w:rFonts w:hint="default" w:ascii="宋体" w:hAnsi="宋体" w:eastAsia="宋体" w:cs="宋体"/>
          <w:bCs/>
          <w:color w:val="000000" w:themeColor="text1"/>
          <w:sz w:val="24"/>
          <w:szCs w:val="24"/>
          <w:highlight w:val="none"/>
          <w:shd w:val="clear" w:color="auto" w:fill="FFFFFF"/>
          <w:lang w:val="en-US" w:eastAsia="zh-CN"/>
        </w:rPr>
      </w:pPr>
      <w:r>
        <w:rPr>
          <w:rFonts w:hint="eastAsia" w:ascii="宋体" w:hAnsi="宋体" w:eastAsia="宋体" w:cs="宋体"/>
          <w:bCs/>
          <w:color w:val="000000" w:themeColor="text1"/>
          <w:sz w:val="24"/>
          <w:szCs w:val="24"/>
          <w:highlight w:val="none"/>
          <w:shd w:val="clear" w:color="auto" w:fill="FFFFFF"/>
          <w:lang w:val="en-US" w:eastAsia="zh-CN"/>
        </w:rPr>
        <w:t>6、付款方式：具体以双方签订合同为准。</w:t>
      </w:r>
    </w:p>
    <w:p>
      <w:pPr>
        <w:widowControl/>
        <w:spacing w:line="360" w:lineRule="auto"/>
        <w:jc w:val="left"/>
        <w:rPr>
          <w:rFonts w:hint="eastAsia" w:ascii="Helvetica" w:hAnsi="Helvetica" w:eastAsia="宋体" w:cs="Helvetica"/>
          <w:color w:val="000000" w:themeColor="text1"/>
          <w:kern w:val="0"/>
          <w:sz w:val="24"/>
          <w:szCs w:val="24"/>
          <w:lang w:val="zh-CN"/>
        </w:rPr>
      </w:pPr>
      <w:r>
        <w:rPr>
          <w:rFonts w:hint="eastAsia" w:ascii="Helvetica" w:hAnsi="Helvetica" w:eastAsia="宋体" w:cs="Helvetica"/>
          <w:color w:val="000000" w:themeColor="text1"/>
          <w:kern w:val="0"/>
          <w:sz w:val="24"/>
          <w:szCs w:val="24"/>
          <w:lang w:val="zh-CN"/>
        </w:rPr>
        <w:br w:type="page"/>
      </w:r>
    </w:p>
    <w:p>
      <w:pPr>
        <w:pStyle w:val="4"/>
        <w:numPr>
          <w:ilvl w:val="0"/>
          <w:numId w:val="0"/>
        </w:numPr>
        <w:spacing w:before="0" w:after="0" w:line="360" w:lineRule="auto"/>
        <w:jc w:val="left"/>
        <w:rPr>
          <w:rFonts w:hint="eastAsia" w:ascii="宋体" w:hAnsi="宋体" w:eastAsia="宋体" w:cs="宋体"/>
          <w:b/>
          <w:bCs w:val="0"/>
          <w:color w:val="000000" w:themeColor="text1"/>
          <w:kern w:val="2"/>
          <w:sz w:val="24"/>
          <w:szCs w:val="24"/>
          <w:highlight w:val="none"/>
          <w:shd w:val="clear" w:color="auto" w:fill="FFFFFF"/>
          <w:lang w:val="zh-CN" w:eastAsia="zh-CN" w:bidi="ar-SA"/>
        </w:rPr>
      </w:pPr>
      <w:bookmarkStart w:id="0" w:name="_Toc495861544"/>
      <w:bookmarkStart w:id="1" w:name="_Toc494561963"/>
      <w:r>
        <w:rPr>
          <w:rFonts w:hint="eastAsia" w:ascii="宋体" w:hAnsi="宋体" w:eastAsia="宋体" w:cs="宋体"/>
          <w:b/>
          <w:bCs w:val="0"/>
          <w:color w:val="000000" w:themeColor="text1"/>
          <w:kern w:val="2"/>
          <w:sz w:val="24"/>
          <w:szCs w:val="24"/>
          <w:highlight w:val="none"/>
          <w:shd w:val="clear" w:color="auto" w:fill="FFFFFF"/>
          <w:lang w:val="en-US" w:eastAsia="zh-CN" w:bidi="ar-SA"/>
        </w:rPr>
        <w:t>五、</w:t>
      </w:r>
      <w:r>
        <w:rPr>
          <w:rFonts w:hint="eastAsia" w:ascii="宋体" w:hAnsi="宋体" w:eastAsia="宋体" w:cs="宋体"/>
          <w:b/>
          <w:bCs w:val="0"/>
          <w:color w:val="000000" w:themeColor="text1"/>
          <w:kern w:val="2"/>
          <w:sz w:val="24"/>
          <w:szCs w:val="24"/>
          <w:highlight w:val="none"/>
          <w:shd w:val="clear" w:color="auto" w:fill="FFFFFF"/>
          <w:lang w:val="zh-CN" w:eastAsia="zh-CN" w:bidi="ar-SA"/>
        </w:rPr>
        <w:t>评审因素及评分标准</w:t>
      </w:r>
      <w:bookmarkEnd w:id="0"/>
      <w:bookmarkEnd w:id="1"/>
    </w:p>
    <w:tbl>
      <w:tblPr>
        <w:tblStyle w:val="10"/>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8190"/>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61"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spacing w:line="360" w:lineRule="auto"/>
              <w:rPr>
                <w:rFonts w:ascii="宋体" w:cs="宋体"/>
                <w:bCs/>
                <w:color w:val="auto"/>
                <w:sz w:val="21"/>
                <w:szCs w:val="21"/>
              </w:rPr>
            </w:pPr>
            <w:r>
              <w:rPr>
                <w:rFonts w:hint="eastAsia" w:ascii="宋体" w:hAnsi="宋体" w:cs="宋体"/>
                <w:bCs/>
                <w:color w:val="auto"/>
                <w:sz w:val="21"/>
                <w:szCs w:val="21"/>
              </w:rPr>
              <w:t>项目</w:t>
            </w:r>
          </w:p>
        </w:tc>
        <w:tc>
          <w:tcPr>
            <w:tcW w:w="81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s="宋体"/>
                <w:bCs/>
                <w:color w:val="auto"/>
                <w:sz w:val="21"/>
                <w:szCs w:val="21"/>
              </w:rPr>
            </w:pPr>
            <w:r>
              <w:rPr>
                <w:rFonts w:hint="eastAsia" w:ascii="宋体" w:hAnsi="宋体" w:cs="宋体"/>
                <w:bCs/>
                <w:color w:val="auto"/>
                <w:sz w:val="21"/>
                <w:szCs w:val="21"/>
              </w:rPr>
              <w:t>分值细则</w:t>
            </w:r>
          </w:p>
        </w:tc>
        <w:tc>
          <w:tcPr>
            <w:tcW w:w="7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s="宋体"/>
                <w:bCs/>
                <w:color w:val="auto"/>
                <w:sz w:val="21"/>
                <w:szCs w:val="21"/>
              </w:rPr>
            </w:pPr>
            <w:r>
              <w:rPr>
                <w:rFonts w:hint="eastAsia" w:ascii="宋体" w:hAnsi="宋体" w:cs="宋体"/>
                <w:bCs/>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价格</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评议</w:t>
            </w:r>
          </w:p>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15分</w:t>
            </w:r>
          </w:p>
        </w:tc>
        <w:tc>
          <w:tcPr>
            <w:tcW w:w="8190" w:type="dxa"/>
            <w:tcBorders>
              <w:top w:val="single" w:color="auto" w:sz="4" w:space="0"/>
              <w:left w:val="single" w:color="auto" w:sz="4" w:space="0"/>
              <w:bottom w:val="single" w:color="auto" w:sz="4" w:space="0"/>
              <w:right w:val="single" w:color="auto" w:sz="4" w:space="0"/>
            </w:tcBorders>
            <w:noWrap w:val="0"/>
            <w:vAlign w:val="center"/>
          </w:tcPr>
          <w:p>
            <w:pPr>
              <w:pStyle w:val="29"/>
              <w:ind w:left="0" w:leftChars="0" w:firstLine="0" w:firstLineChars="0"/>
              <w:rPr>
                <w:color w:val="auto"/>
                <w:sz w:val="21"/>
                <w:szCs w:val="21"/>
              </w:rPr>
            </w:pPr>
            <w:r>
              <w:rPr>
                <w:rFonts w:hint="eastAsia"/>
                <w:color w:val="auto"/>
                <w:sz w:val="21"/>
                <w:szCs w:val="21"/>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为保证产品质量，投标报价低于采购预算</w:t>
            </w:r>
            <w:r>
              <w:rPr>
                <w:rFonts w:hint="eastAsia"/>
                <w:color w:val="0000FF"/>
                <w:sz w:val="21"/>
                <w:szCs w:val="21"/>
                <w:lang w:val="en-US" w:eastAsia="zh-CN"/>
              </w:rPr>
              <w:t>9</w:t>
            </w:r>
            <w:r>
              <w:rPr>
                <w:rFonts w:hint="eastAsia"/>
                <w:color w:val="0000FF"/>
                <w:sz w:val="21"/>
                <w:szCs w:val="21"/>
              </w:rPr>
              <w:t>0%</w:t>
            </w:r>
            <w:r>
              <w:rPr>
                <w:rFonts w:hint="eastAsia"/>
                <w:color w:val="auto"/>
                <w:sz w:val="21"/>
                <w:szCs w:val="21"/>
              </w:rPr>
              <w:t>时，评标委员会将对其进行成本分析，评标委员会认为报价低于成本价时将否决其投标。</w:t>
            </w:r>
          </w:p>
        </w:tc>
        <w:tc>
          <w:tcPr>
            <w:tcW w:w="7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cs="宋体" w:eastAsiaTheme="minorEastAsia"/>
                <w:color w:val="auto"/>
                <w:sz w:val="21"/>
                <w:szCs w:val="21"/>
                <w:lang w:val="en-US" w:eastAsia="zh-CN"/>
              </w:rPr>
            </w:pPr>
            <w:r>
              <w:rPr>
                <w:rFonts w:hint="eastAsia" w:ascii="宋体" w:hAnsi="宋体" w:cs="宋体"/>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61"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cs="宋体"/>
                <w:color w:val="auto"/>
                <w:sz w:val="21"/>
                <w:szCs w:val="21"/>
                <w:lang w:val="en-US" w:eastAsia="zh-CN"/>
              </w:rPr>
            </w:pPr>
            <w:r>
              <w:rPr>
                <w:rFonts w:hint="eastAsia" w:ascii="宋体" w:cs="宋体"/>
                <w:color w:val="auto"/>
                <w:sz w:val="21"/>
                <w:szCs w:val="21"/>
              </w:rPr>
              <w:t>商务</w:t>
            </w:r>
            <w:r>
              <w:rPr>
                <w:rFonts w:hint="eastAsia" w:ascii="宋体" w:cs="宋体"/>
                <w:color w:val="auto"/>
                <w:sz w:val="21"/>
                <w:szCs w:val="21"/>
                <w:lang w:eastAsia="zh-CN"/>
              </w:rPr>
              <w:t>评议</w:t>
            </w:r>
            <w:r>
              <w:rPr>
                <w:rFonts w:hint="eastAsia" w:ascii="宋体" w:cs="宋体"/>
                <w:color w:val="auto"/>
                <w:sz w:val="21"/>
                <w:szCs w:val="21"/>
                <w:lang w:val="en-US" w:eastAsia="zh-CN"/>
              </w:rPr>
              <w:t>30分</w:t>
            </w:r>
          </w:p>
        </w:tc>
        <w:tc>
          <w:tcPr>
            <w:tcW w:w="8190" w:type="dxa"/>
            <w:tcBorders>
              <w:top w:val="single" w:color="auto" w:sz="4" w:space="0"/>
              <w:left w:val="single" w:color="auto" w:sz="4" w:space="0"/>
              <w:right w:val="single" w:color="auto" w:sz="4" w:space="0"/>
            </w:tcBorders>
            <w:noWrap w:val="0"/>
            <w:vAlign w:val="center"/>
          </w:tcPr>
          <w:p>
            <w:pPr>
              <w:rPr>
                <w:rFonts w:hint="eastAsia"/>
                <w:lang w:eastAsia="zh-CN"/>
              </w:rPr>
            </w:pPr>
            <w:r>
              <w:rPr>
                <w:rFonts w:hint="default"/>
                <w:lang w:val="en-US" w:eastAsia="zh-CN"/>
              </w:rPr>
              <w:t>根据投标人近五年获得相关管理部门的奖励文件</w:t>
            </w:r>
            <w:r>
              <w:rPr>
                <w:rFonts w:hint="eastAsia"/>
                <w:lang w:val="en-US" w:eastAsia="zh-CN"/>
              </w:rPr>
              <w:t>/证书</w:t>
            </w:r>
            <w:r>
              <w:rPr>
                <w:rFonts w:hint="default"/>
                <w:lang w:val="en-US" w:eastAsia="zh-CN"/>
              </w:rPr>
              <w:t>进行评分，获得县（</w:t>
            </w:r>
            <w:r>
              <w:rPr>
                <w:rFonts w:hint="eastAsia"/>
                <w:lang w:val="en-US" w:eastAsia="zh-CN"/>
              </w:rPr>
              <w:t>市</w:t>
            </w:r>
            <w:r>
              <w:rPr>
                <w:rFonts w:hint="default"/>
                <w:lang w:val="en-US" w:eastAsia="zh-CN"/>
              </w:rPr>
              <w:t>）级奖励的每提供一个得 1分</w:t>
            </w:r>
            <w:r>
              <w:rPr>
                <w:rFonts w:hint="eastAsia"/>
                <w:lang w:val="en-US" w:eastAsia="zh-CN"/>
              </w:rPr>
              <w:t>，最多得2分；</w:t>
            </w:r>
            <w:r>
              <w:rPr>
                <w:rFonts w:hint="default"/>
                <w:lang w:val="en-US" w:eastAsia="zh-CN"/>
              </w:rPr>
              <w:t>获得省级奖励的每提供一个得</w:t>
            </w:r>
            <w:r>
              <w:rPr>
                <w:rFonts w:hint="eastAsia"/>
                <w:lang w:val="en-US" w:eastAsia="zh-CN"/>
              </w:rPr>
              <w:t>2</w:t>
            </w:r>
            <w:r>
              <w:rPr>
                <w:rFonts w:hint="default"/>
                <w:lang w:val="en-US" w:eastAsia="zh-CN"/>
              </w:rPr>
              <w:t>分</w:t>
            </w:r>
            <w:r>
              <w:rPr>
                <w:rFonts w:hint="eastAsia"/>
                <w:lang w:val="en-US" w:eastAsia="zh-CN"/>
              </w:rPr>
              <w:t>，最多得4分。</w:t>
            </w:r>
          </w:p>
        </w:tc>
        <w:tc>
          <w:tcPr>
            <w:tcW w:w="715" w:type="dxa"/>
            <w:tcBorders>
              <w:top w:val="single" w:color="auto" w:sz="4" w:space="0"/>
              <w:left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61" w:type="dxa"/>
            <w:vMerge w:val="continue"/>
            <w:tcBorders>
              <w:left w:val="single" w:color="auto" w:sz="4" w:space="0"/>
              <w:right w:val="single" w:color="auto" w:sz="4" w:space="0"/>
            </w:tcBorders>
            <w:noWrap w:val="0"/>
            <w:vAlign w:val="center"/>
          </w:tcPr>
          <w:p>
            <w:pPr>
              <w:widowControl/>
              <w:jc w:val="left"/>
              <w:rPr>
                <w:rFonts w:hint="eastAsia" w:ascii="宋体" w:cs="宋体"/>
                <w:color w:val="auto"/>
                <w:sz w:val="21"/>
                <w:szCs w:val="21"/>
                <w:lang w:val="en-US" w:eastAsia="zh-CN"/>
              </w:rPr>
            </w:pPr>
          </w:p>
        </w:tc>
        <w:tc>
          <w:tcPr>
            <w:tcW w:w="819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eastAsia="zh-CN"/>
              </w:rPr>
            </w:pPr>
            <w:r>
              <w:rPr>
                <w:rFonts w:hint="eastAsia"/>
                <w:lang w:val="en-US" w:eastAsia="zh-CN"/>
              </w:rPr>
              <w:t>近三年每提供一份企业或单位体检服务合同得2分，最高得20分（以与各企业或单位签订的合同为准）</w:t>
            </w:r>
          </w:p>
        </w:tc>
        <w:tc>
          <w:tcPr>
            <w:tcW w:w="715" w:type="dxa"/>
            <w:tcBorders>
              <w:top w:val="single" w:color="auto" w:sz="4" w:space="0"/>
              <w:left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61" w:type="dxa"/>
            <w:vMerge w:val="continue"/>
            <w:tcBorders>
              <w:left w:val="single" w:color="auto" w:sz="4" w:space="0"/>
              <w:right w:val="single" w:color="auto" w:sz="4" w:space="0"/>
            </w:tcBorders>
            <w:noWrap w:val="0"/>
            <w:vAlign w:val="center"/>
          </w:tcPr>
          <w:p>
            <w:pPr>
              <w:widowControl/>
              <w:jc w:val="left"/>
              <w:rPr>
                <w:rFonts w:hint="eastAsia" w:ascii="宋体" w:cs="宋体"/>
                <w:color w:val="auto"/>
                <w:sz w:val="21"/>
                <w:szCs w:val="21"/>
                <w:lang w:val="en-US" w:eastAsia="zh-CN"/>
              </w:rPr>
            </w:pPr>
          </w:p>
        </w:tc>
        <w:tc>
          <w:tcPr>
            <w:tcW w:w="8190" w:type="dxa"/>
            <w:tcBorders>
              <w:top w:val="single" w:color="auto" w:sz="4" w:space="0"/>
              <w:left w:val="single" w:color="auto" w:sz="4" w:space="0"/>
              <w:right w:val="single" w:color="auto" w:sz="4" w:space="0"/>
            </w:tcBorders>
            <w:noWrap w:val="0"/>
            <w:vAlign w:val="center"/>
          </w:tcPr>
          <w:p>
            <w:pPr>
              <w:rPr>
                <w:rFonts w:hint="eastAsia"/>
                <w:lang w:val="en-US" w:eastAsia="zh-CN"/>
              </w:rPr>
            </w:pPr>
            <w:r>
              <w:rPr>
                <w:rFonts w:hint="eastAsia"/>
                <w:lang w:val="en-US" w:eastAsia="zh-CN"/>
              </w:rPr>
              <w:t>有对本响应文件所提供资料真实性的承诺，得2分；否则得 0 分；</w:t>
            </w:r>
          </w:p>
        </w:tc>
        <w:tc>
          <w:tcPr>
            <w:tcW w:w="715" w:type="dxa"/>
            <w:tcBorders>
              <w:top w:val="single" w:color="auto" w:sz="4" w:space="0"/>
              <w:left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61" w:type="dxa"/>
            <w:vMerge w:val="continue"/>
            <w:tcBorders>
              <w:left w:val="single" w:color="auto" w:sz="4" w:space="0"/>
              <w:right w:val="single" w:color="auto" w:sz="4" w:space="0"/>
            </w:tcBorders>
            <w:noWrap w:val="0"/>
            <w:vAlign w:val="center"/>
          </w:tcPr>
          <w:p>
            <w:pPr>
              <w:widowControl/>
              <w:jc w:val="left"/>
              <w:rPr>
                <w:rFonts w:hint="eastAsia" w:ascii="宋体" w:cs="宋体"/>
                <w:color w:val="auto"/>
                <w:sz w:val="21"/>
                <w:szCs w:val="21"/>
                <w:lang w:val="en-US" w:eastAsia="zh-CN"/>
              </w:rPr>
            </w:pPr>
          </w:p>
        </w:tc>
        <w:tc>
          <w:tcPr>
            <w:tcW w:w="819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投标文件全面响应招标文件要求，编制完整、非活页装订，且有详细目录、连续页码、目录与有关材料装订顺序对应清晰、查阅方便得2分。编排杂乱无章、叙述答非所问、资料残缺不全、资料模糊不清、前后不一致等，每处扣0.5分，扣完为止；</w:t>
            </w:r>
          </w:p>
        </w:tc>
        <w:tc>
          <w:tcPr>
            <w:tcW w:w="715" w:type="dxa"/>
            <w:tcBorders>
              <w:top w:val="single" w:color="auto" w:sz="4" w:space="0"/>
              <w:left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761" w:type="dxa"/>
            <w:vMerge w:val="restart"/>
            <w:tcBorders>
              <w:top w:val="single" w:color="auto" w:sz="4" w:space="0"/>
              <w:left w:val="single" w:color="auto" w:sz="4" w:space="0"/>
              <w:right w:val="single" w:color="auto" w:sz="4" w:space="0"/>
            </w:tcBorders>
            <w:noWrap w:val="0"/>
            <w:vAlign w:val="center"/>
          </w:tcPr>
          <w:p>
            <w:pPr>
              <w:spacing w:line="360" w:lineRule="auto"/>
              <w:jc w:val="both"/>
              <w:rPr>
                <w:rFonts w:hint="eastAsia" w:ascii="宋体" w:hAnsi="宋体" w:cs="宋体" w:eastAsiaTheme="minorEastAsia"/>
                <w:color w:val="auto"/>
                <w:sz w:val="21"/>
                <w:szCs w:val="21"/>
                <w:lang w:eastAsia="zh-CN"/>
              </w:rPr>
            </w:pPr>
            <w:r>
              <w:rPr>
                <w:rFonts w:hint="eastAsia" w:ascii="宋体" w:hAnsi="宋体" w:cs="宋体"/>
                <w:color w:val="auto"/>
                <w:sz w:val="21"/>
                <w:szCs w:val="21"/>
                <w:lang w:eastAsia="zh-CN"/>
              </w:rPr>
              <w:t>技</w:t>
            </w:r>
            <w:r>
              <w:rPr>
                <w:rFonts w:hint="eastAsia" w:ascii="宋体" w:hAnsi="宋体" w:cs="宋体"/>
                <w:color w:val="auto"/>
                <w:sz w:val="21"/>
                <w:szCs w:val="21"/>
              </w:rPr>
              <w:t>术</w:t>
            </w:r>
            <w:r>
              <w:rPr>
                <w:rFonts w:hint="eastAsia" w:ascii="宋体" w:hAnsi="宋体" w:cs="宋体"/>
                <w:color w:val="auto"/>
                <w:sz w:val="21"/>
                <w:szCs w:val="21"/>
                <w:lang w:eastAsia="zh-CN"/>
              </w:rPr>
              <w:t>评</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议</w:t>
            </w:r>
          </w:p>
          <w:p>
            <w:pPr>
              <w:spacing w:line="360" w:lineRule="auto"/>
              <w:jc w:val="center"/>
              <w:rPr>
                <w:rFonts w:hint="default" w:ascii="宋体" w:cs="宋体" w:eastAsiaTheme="minorEastAsia"/>
                <w:color w:val="auto"/>
                <w:sz w:val="21"/>
                <w:szCs w:val="21"/>
                <w:lang w:val="en-US" w:eastAsia="zh-CN"/>
              </w:rPr>
            </w:pPr>
            <w:r>
              <w:rPr>
                <w:rFonts w:hint="eastAsia" w:ascii="宋体" w:cs="宋体"/>
                <w:color w:val="auto"/>
                <w:sz w:val="21"/>
                <w:szCs w:val="21"/>
                <w:lang w:val="en-US" w:eastAsia="zh-CN"/>
              </w:rPr>
              <w:t>55分</w:t>
            </w:r>
          </w:p>
        </w:tc>
        <w:tc>
          <w:tcPr>
            <w:tcW w:w="8190" w:type="dxa"/>
            <w:tcBorders>
              <w:top w:val="single" w:color="auto" w:sz="4" w:space="0"/>
              <w:left w:val="single" w:color="auto" w:sz="4" w:space="0"/>
              <w:bottom w:val="single" w:color="auto" w:sz="4" w:space="0"/>
              <w:right w:val="single" w:color="auto" w:sz="4" w:space="0"/>
            </w:tcBorders>
            <w:noWrap w:val="0"/>
            <w:vAlign w:val="center"/>
          </w:tcPr>
          <w:p>
            <w:pPr>
              <w:jc w:val="both"/>
              <w:rPr>
                <w:rFonts w:ascii="宋体" w:cs="宋体"/>
                <w:color w:val="auto"/>
                <w:sz w:val="21"/>
                <w:szCs w:val="21"/>
              </w:rPr>
            </w:pPr>
            <w:r>
              <w:rPr>
                <w:rFonts w:hint="eastAsia" w:ascii="宋体" w:hAnsi="宋体"/>
                <w:color w:val="000000" w:themeColor="text1"/>
                <w:szCs w:val="21"/>
              </w:rPr>
              <w:t>招标文件</w:t>
            </w:r>
            <w:r>
              <w:rPr>
                <w:rFonts w:hint="eastAsia" w:ascii="宋体" w:hAnsi="宋体" w:cs="宋体"/>
                <w:color w:val="000000" w:themeColor="text1"/>
                <w:kern w:val="0"/>
                <w:szCs w:val="21"/>
              </w:rPr>
              <w:t>中技术指标根据技术指标及其他重要性能指标和投标服务情况：符合招标文件要求20分，不满足招标文件要求的每项扣</w:t>
            </w:r>
            <w:r>
              <w:rPr>
                <w:rFonts w:hint="eastAsia" w:ascii="宋体" w:hAnsi="宋体" w:cs="宋体"/>
                <w:color w:val="000000" w:themeColor="text1"/>
                <w:kern w:val="0"/>
                <w:szCs w:val="21"/>
                <w:lang w:val="en-US" w:eastAsia="zh-CN"/>
              </w:rPr>
              <w:t>2</w:t>
            </w:r>
            <w:r>
              <w:rPr>
                <w:rFonts w:hint="eastAsia" w:ascii="宋体" w:hAnsi="宋体" w:cs="宋体"/>
                <w:color w:val="000000" w:themeColor="text1"/>
                <w:kern w:val="0"/>
                <w:szCs w:val="21"/>
              </w:rPr>
              <w:t>分,超过</w:t>
            </w:r>
            <w:r>
              <w:rPr>
                <w:rFonts w:hint="eastAsia" w:ascii="宋体" w:hAnsi="宋体" w:cs="宋体"/>
                <w:color w:val="000000" w:themeColor="text1"/>
                <w:kern w:val="0"/>
                <w:szCs w:val="21"/>
                <w:lang w:val="en-US" w:eastAsia="zh-CN"/>
              </w:rPr>
              <w:t>10</w:t>
            </w:r>
            <w:r>
              <w:rPr>
                <w:rFonts w:hint="eastAsia" w:ascii="宋体" w:hAnsi="宋体" w:cs="宋体"/>
                <w:color w:val="000000" w:themeColor="text1"/>
                <w:kern w:val="0"/>
                <w:szCs w:val="21"/>
              </w:rPr>
              <w:t>项属于无效投标。</w:t>
            </w:r>
          </w:p>
        </w:tc>
        <w:tc>
          <w:tcPr>
            <w:tcW w:w="715" w:type="dxa"/>
            <w:tcBorders>
              <w:top w:val="single" w:color="auto" w:sz="4" w:space="0"/>
              <w:left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1" w:type="dxa"/>
            <w:vMerge w:val="continue"/>
            <w:tcBorders>
              <w:left w:val="single" w:color="auto" w:sz="4" w:space="0"/>
              <w:right w:val="single" w:color="auto" w:sz="4" w:space="0"/>
            </w:tcBorders>
            <w:noWrap w:val="0"/>
            <w:vAlign w:val="center"/>
          </w:tcPr>
          <w:p>
            <w:pPr>
              <w:widowControl/>
              <w:jc w:val="left"/>
              <w:rPr>
                <w:rFonts w:ascii="宋体" w:cs="宋体"/>
                <w:color w:val="auto"/>
                <w:sz w:val="21"/>
                <w:szCs w:val="21"/>
              </w:rPr>
            </w:pPr>
          </w:p>
        </w:tc>
        <w:tc>
          <w:tcPr>
            <w:tcW w:w="81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根据投标单位提供的体检场地情况：从空间大小，环境卫生，门牌标示指示是否清楚等方面进行比较。</w:t>
            </w:r>
          </w:p>
          <w:p>
            <w:pPr>
              <w:spacing w:line="380" w:lineRule="exact"/>
              <w:rPr>
                <w:rFonts w:hint="default" w:ascii="宋体" w:hAnsi="宋体" w:cs="宋体" w:eastAsiaTheme="minorEastAsia"/>
                <w:color w:val="auto"/>
                <w:sz w:val="21"/>
                <w:szCs w:val="21"/>
                <w:lang w:val="en-US" w:eastAsia="zh-CN"/>
              </w:rPr>
            </w:pPr>
            <w:r>
              <w:rPr>
                <w:rFonts w:hint="eastAsia" w:ascii="宋体" w:hAnsi="宋体" w:cs="宋体"/>
                <w:color w:val="auto"/>
                <w:sz w:val="21"/>
                <w:szCs w:val="21"/>
                <w:lang w:val="en-US" w:eastAsia="zh-CN"/>
              </w:rPr>
              <w:t>内容完备、科学、合理、针对性强的得4-5分，内容基本完备、基本合理、可行的得2-3分，欠合理、基本可行的得1，不可行、不能满足项目需要的不得分。</w:t>
            </w:r>
            <w:bookmarkStart w:id="2" w:name="_GoBack"/>
            <w:bookmarkEnd w:id="2"/>
          </w:p>
        </w:tc>
        <w:tc>
          <w:tcPr>
            <w:tcW w:w="715" w:type="dxa"/>
            <w:tcBorders>
              <w:left w:val="single" w:color="auto" w:sz="4" w:space="0"/>
              <w:right w:val="single" w:color="auto" w:sz="4" w:space="0"/>
            </w:tcBorders>
            <w:noWrap w:val="0"/>
            <w:vAlign w:val="center"/>
          </w:tcPr>
          <w:p>
            <w:pPr>
              <w:jc w:val="center"/>
              <w:rPr>
                <w:rFonts w:hint="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1" w:type="dxa"/>
            <w:vMerge w:val="continue"/>
            <w:tcBorders>
              <w:left w:val="single" w:color="auto" w:sz="4" w:space="0"/>
              <w:right w:val="single" w:color="auto" w:sz="4" w:space="0"/>
            </w:tcBorders>
            <w:noWrap w:val="0"/>
            <w:vAlign w:val="center"/>
          </w:tcPr>
          <w:p>
            <w:pPr>
              <w:widowControl/>
              <w:jc w:val="left"/>
              <w:rPr>
                <w:rFonts w:ascii="宋体" w:cs="宋体"/>
                <w:color w:val="auto"/>
                <w:sz w:val="21"/>
                <w:szCs w:val="21"/>
              </w:rPr>
            </w:pPr>
          </w:p>
        </w:tc>
        <w:tc>
          <w:tcPr>
            <w:tcW w:w="81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根据投标单位提供的体检仪器情况：从种类是否齐全，设备先进，使用年限，产地情况等方面进行比较。</w:t>
            </w:r>
          </w:p>
          <w:p>
            <w:pPr>
              <w:spacing w:line="38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内容完备、科学、合理、针对性强的得4-5分，内容基本完备、基本合理、可行的得2-3分，欠合理、基本可行的得1，不可行、不能满足项目需要的不得分。</w:t>
            </w:r>
          </w:p>
        </w:tc>
        <w:tc>
          <w:tcPr>
            <w:tcW w:w="715" w:type="dxa"/>
            <w:tcBorders>
              <w:left w:val="single" w:color="auto" w:sz="4" w:space="0"/>
              <w:right w:val="single" w:color="auto" w:sz="4" w:space="0"/>
            </w:tcBorders>
            <w:noWrap w:val="0"/>
            <w:vAlign w:val="center"/>
          </w:tcPr>
          <w:p>
            <w:pPr>
              <w:jc w:val="center"/>
              <w:rPr>
                <w:rFonts w:hint="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1" w:type="dxa"/>
            <w:vMerge w:val="continue"/>
            <w:tcBorders>
              <w:left w:val="single" w:color="auto" w:sz="4" w:space="0"/>
              <w:right w:val="single" w:color="auto" w:sz="4" w:space="0"/>
            </w:tcBorders>
            <w:noWrap w:val="0"/>
            <w:vAlign w:val="center"/>
          </w:tcPr>
          <w:p>
            <w:pPr>
              <w:widowControl/>
              <w:jc w:val="left"/>
              <w:rPr>
                <w:rFonts w:ascii="宋体" w:cs="宋体"/>
                <w:color w:val="auto"/>
                <w:sz w:val="21"/>
                <w:szCs w:val="21"/>
              </w:rPr>
            </w:pPr>
          </w:p>
        </w:tc>
        <w:tc>
          <w:tcPr>
            <w:tcW w:w="81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根据拟投入的主检医师专业涵盖范围及各科主检医师职称等方面进行比较。</w:t>
            </w:r>
          </w:p>
          <w:p>
            <w:pPr>
              <w:spacing w:line="38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内容完备、科学、合理、针对性强的得4-5分，内容基本完备、基本合理、可行的得2-3分，欠合理、基本可行的得1，不可行、不能满足项目需要的不得分。</w:t>
            </w:r>
          </w:p>
        </w:tc>
        <w:tc>
          <w:tcPr>
            <w:tcW w:w="715" w:type="dxa"/>
            <w:tcBorders>
              <w:left w:val="single" w:color="auto" w:sz="4" w:space="0"/>
              <w:right w:val="single" w:color="auto" w:sz="4" w:space="0"/>
            </w:tcBorders>
            <w:noWrap w:val="0"/>
            <w:vAlign w:val="center"/>
          </w:tcPr>
          <w:p>
            <w:pPr>
              <w:jc w:val="center"/>
              <w:rPr>
                <w:rFonts w:hint="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1" w:type="dxa"/>
            <w:vMerge w:val="continue"/>
            <w:tcBorders>
              <w:left w:val="single" w:color="auto" w:sz="4" w:space="0"/>
              <w:right w:val="single" w:color="auto" w:sz="4" w:space="0"/>
            </w:tcBorders>
            <w:noWrap w:val="0"/>
            <w:vAlign w:val="center"/>
          </w:tcPr>
          <w:p>
            <w:pPr>
              <w:widowControl/>
              <w:jc w:val="left"/>
              <w:rPr>
                <w:rFonts w:ascii="宋体" w:cs="宋体"/>
                <w:color w:val="auto"/>
                <w:sz w:val="21"/>
                <w:szCs w:val="21"/>
              </w:rPr>
            </w:pPr>
          </w:p>
        </w:tc>
        <w:tc>
          <w:tcPr>
            <w:tcW w:w="81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根据各科室设置齐全，工作制度严谨，岗位职责完整清晰等方面进行比较。</w:t>
            </w:r>
          </w:p>
          <w:p>
            <w:pPr>
              <w:spacing w:line="38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内容完备、科学、合理、针对性强的得4-5分，内容基本完备、基本合理、可行的得2-3分，欠合理、基本可行的得1，不可行、不能满足项目需要的不得分。</w:t>
            </w:r>
          </w:p>
        </w:tc>
        <w:tc>
          <w:tcPr>
            <w:tcW w:w="715" w:type="dxa"/>
            <w:tcBorders>
              <w:left w:val="single" w:color="auto" w:sz="4" w:space="0"/>
              <w:bottom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1" w:type="dxa"/>
            <w:vMerge w:val="continue"/>
            <w:tcBorders>
              <w:left w:val="single" w:color="auto" w:sz="4" w:space="0"/>
              <w:right w:val="single" w:color="auto" w:sz="4" w:space="0"/>
            </w:tcBorders>
            <w:noWrap w:val="0"/>
            <w:vAlign w:val="center"/>
          </w:tcPr>
          <w:p>
            <w:pPr>
              <w:widowControl/>
              <w:jc w:val="left"/>
              <w:rPr>
                <w:rFonts w:ascii="宋体" w:cs="宋体"/>
                <w:color w:val="auto"/>
                <w:sz w:val="21"/>
                <w:szCs w:val="21"/>
              </w:rPr>
            </w:pPr>
          </w:p>
        </w:tc>
        <w:tc>
          <w:tcPr>
            <w:tcW w:w="81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体检流程全面完整，简明易懂，有序高效的得2分，附图表说明的得2分</w:t>
            </w:r>
          </w:p>
        </w:tc>
        <w:tc>
          <w:tcPr>
            <w:tcW w:w="715" w:type="dxa"/>
            <w:tcBorders>
              <w:left w:val="single" w:color="auto" w:sz="4" w:space="0"/>
              <w:bottom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1" w:type="dxa"/>
            <w:vMerge w:val="continue"/>
            <w:tcBorders>
              <w:left w:val="single" w:color="auto" w:sz="4" w:space="0"/>
              <w:right w:val="single" w:color="auto" w:sz="4" w:space="0"/>
            </w:tcBorders>
            <w:noWrap w:val="0"/>
            <w:vAlign w:val="center"/>
          </w:tcPr>
          <w:p>
            <w:pPr>
              <w:widowControl/>
              <w:jc w:val="left"/>
              <w:rPr>
                <w:rFonts w:ascii="宋体" w:cs="宋体"/>
                <w:color w:val="auto"/>
                <w:sz w:val="21"/>
                <w:szCs w:val="21"/>
              </w:rPr>
            </w:pPr>
          </w:p>
        </w:tc>
        <w:tc>
          <w:tcPr>
            <w:tcW w:w="81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根据所提供的体检报告的内容完整，页面设计，布置合理，阅读方便等方面进行比较.内容完备、科学、合理、针对性强的得4-5分，内容基本完备、基本合理、可行的得2-3分，欠合理、基本可行的得1，不可行、不能满足项目需要的不得分。</w:t>
            </w:r>
          </w:p>
        </w:tc>
        <w:tc>
          <w:tcPr>
            <w:tcW w:w="715" w:type="dxa"/>
            <w:tcBorders>
              <w:left w:val="single" w:color="auto" w:sz="4" w:space="0"/>
              <w:bottom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1" w:type="dxa"/>
            <w:vMerge w:val="continue"/>
            <w:tcBorders>
              <w:left w:val="single" w:color="auto" w:sz="4" w:space="0"/>
              <w:right w:val="single" w:color="auto" w:sz="4" w:space="0"/>
            </w:tcBorders>
            <w:noWrap w:val="0"/>
            <w:vAlign w:val="center"/>
          </w:tcPr>
          <w:p>
            <w:pPr>
              <w:widowControl/>
              <w:jc w:val="left"/>
              <w:rPr>
                <w:rFonts w:ascii="宋体" w:cs="宋体"/>
                <w:color w:val="auto"/>
                <w:sz w:val="21"/>
                <w:szCs w:val="21"/>
              </w:rPr>
            </w:pPr>
          </w:p>
        </w:tc>
        <w:tc>
          <w:tcPr>
            <w:tcW w:w="81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总体服务方案合理可行，对项目特性，项目难点有分析及预判的得1分;应对措施合理并有针对性的得1分;对自身优势有详细描述，证明材料充足的得1分</w:t>
            </w:r>
          </w:p>
        </w:tc>
        <w:tc>
          <w:tcPr>
            <w:tcW w:w="715" w:type="dxa"/>
            <w:tcBorders>
              <w:left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61"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宋体"/>
                <w:color w:val="auto"/>
                <w:sz w:val="21"/>
                <w:szCs w:val="21"/>
              </w:rPr>
            </w:pPr>
          </w:p>
        </w:tc>
        <w:tc>
          <w:tcPr>
            <w:tcW w:w="81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投标单位于本项目采购需求外提供的增值服务，根据其服务内容的力度，可操作性及与本项目契合度等方面进行综合比较。内容完备、科学、合理、针对性强的得3分，内容基本完备、基本合理、可行的得2分，欠合理、基本可行的得1，不可行、不能满足项目需要的不得分。</w:t>
            </w:r>
          </w:p>
        </w:tc>
        <w:tc>
          <w:tcPr>
            <w:tcW w:w="715" w:type="dxa"/>
            <w:tcBorders>
              <w:left w:val="single" w:color="auto" w:sz="4" w:space="0"/>
              <w:bottom w:val="single" w:color="auto" w:sz="4" w:space="0"/>
              <w:right w:val="single" w:color="auto" w:sz="4" w:space="0"/>
            </w:tcBorders>
            <w:noWrap w:val="0"/>
            <w:vAlign w:val="center"/>
          </w:tcPr>
          <w:p>
            <w:pPr>
              <w:jc w:val="center"/>
              <w:rPr>
                <w:rFonts w:hint="eastAsia"/>
                <w:lang w:val="en-US" w:eastAsia="zh-CN"/>
              </w:rPr>
            </w:pPr>
            <w:r>
              <w:rPr>
                <w:rFonts w:hint="eastAsia"/>
                <w:lang w:val="en-US" w:eastAsia="zh-CN"/>
              </w:rPr>
              <w:t>3</w:t>
            </w:r>
          </w:p>
        </w:tc>
      </w:tr>
    </w:tbl>
    <w:p>
      <w:pPr>
        <w:rPr>
          <w:color w:val="auto"/>
          <w:highlight w:val="yellow"/>
        </w:rPr>
      </w:pPr>
    </w:p>
    <w:p>
      <w:pPr>
        <w:spacing w:line="360" w:lineRule="auto"/>
        <w:rPr>
          <w:rFonts w:ascii="Times New Roman" w:hAnsi="Times New Roman" w:eastAsia="方正姚体" w:cs="Times New Roman"/>
          <w:bCs/>
          <w:sz w:val="24"/>
          <w:szCs w:val="24"/>
        </w:rPr>
      </w:pPr>
      <w:r>
        <w:rPr>
          <w:rFonts w:hint="eastAsia"/>
          <w:color w:val="000000" w:themeColor="text1"/>
          <w:highlight w:val="none"/>
          <w:lang w:val="zh-CN"/>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pPr>
        <w:rPr>
          <w:rFonts w:hint="eastAsia"/>
          <w:lang w:val="en-US" w:eastAsia="zh-CN"/>
        </w:rPr>
      </w:pPr>
    </w:p>
    <w:p>
      <w:pPr>
        <w:pStyle w:val="14"/>
        <w:rPr>
          <w:rFonts w:hint="eastAsia"/>
          <w:lang w:val="en-US" w:eastAsia="zh-CN"/>
        </w:rPr>
      </w:pPr>
    </w:p>
    <w:p>
      <w:pPr>
        <w:rPr>
          <w:rFonts w:hint="eastAsia"/>
          <w:lang w:val="en-US" w:eastAsia="zh-CN"/>
        </w:rPr>
      </w:pPr>
      <w:r>
        <w:rPr>
          <w:rFonts w:hint="eastAsia"/>
          <w:lang w:val="en-US" w:eastAsia="zh-CN"/>
        </w:rPr>
        <w:br w:type="page"/>
      </w:r>
    </w:p>
    <w:p>
      <w:pPr>
        <w:rPr>
          <w:rFonts w:hint="default" w:eastAsia="宋体"/>
          <w:lang w:val="en-US" w:eastAsia="zh-CN"/>
        </w:rPr>
      </w:pPr>
      <w:r>
        <w:rPr>
          <w:rFonts w:hint="eastAsia"/>
          <w:lang w:val="en-US" w:eastAsia="zh-CN"/>
        </w:rPr>
        <w:t>附件二</w:t>
      </w:r>
    </w:p>
    <w:p>
      <w:pPr>
        <w:jc w:val="center"/>
        <w:rPr>
          <w:sz w:val="32"/>
          <w:szCs w:val="32"/>
        </w:rPr>
      </w:pPr>
      <w:r>
        <w:rPr>
          <w:rFonts w:hint="eastAsia"/>
          <w:sz w:val="32"/>
          <w:szCs w:val="32"/>
        </w:rPr>
        <w:t>供应商报名表</w:t>
      </w:r>
    </w:p>
    <w:p>
      <w:pP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 xml:space="preserve">项目名称：  </w:t>
      </w:r>
      <w:r>
        <w:rPr>
          <w:rFonts w:hint="eastAsia"/>
          <w:sz w:val="28"/>
          <w:szCs w:val="28"/>
          <w:u w:val="single"/>
        </w:rPr>
        <w:t xml:space="preserve">                </w:t>
      </w:r>
      <w:r>
        <w:rPr>
          <w:rFonts w:hint="eastAsia"/>
          <w:sz w:val="28"/>
          <w:szCs w:val="28"/>
        </w:rPr>
        <w:t xml:space="preserve">                       </w:t>
      </w:r>
    </w:p>
    <w:tbl>
      <w:tblPr>
        <w:tblStyle w:val="10"/>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5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供应商名称（盖章）</w:t>
            </w:r>
          </w:p>
        </w:tc>
        <w:tc>
          <w:tcPr>
            <w:tcW w:w="58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联系人姓名</w:t>
            </w:r>
          </w:p>
        </w:tc>
        <w:tc>
          <w:tcPr>
            <w:tcW w:w="58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联系人电话</w:t>
            </w:r>
          </w:p>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（办公电话和手机）</w:t>
            </w:r>
          </w:p>
        </w:tc>
        <w:tc>
          <w:tcPr>
            <w:tcW w:w="58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联系人邮箱</w:t>
            </w:r>
          </w:p>
        </w:tc>
        <w:tc>
          <w:tcPr>
            <w:tcW w:w="58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供应商提供的</w:t>
            </w:r>
          </w:p>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报名资料</w:t>
            </w: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1.</w:t>
            </w:r>
            <w:r>
              <w:rPr>
                <w:rFonts w:hint="eastAsia" w:ascii="宋体" w:hAnsi="宋体" w:eastAsia="宋体" w:cs="宋体"/>
                <w:kern w:val="0"/>
                <w:szCs w:val="21"/>
              </w:rPr>
              <w:t>法人或者其他组织的营业执照等证明文件，如供应商是自然人的提供身份证明材料</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2.</w:t>
            </w:r>
            <w:r>
              <w:rPr>
                <w:rFonts w:hint="eastAsia" w:ascii="宋体" w:hAnsi="宋体" w:eastAsia="宋体" w:cs="宋体"/>
                <w:kern w:val="0"/>
                <w:szCs w:val="21"/>
              </w:rPr>
              <w:t>财务状况报告必须无亏损，依法缴纳税收和社会保障资金的相关材料</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3.</w:t>
            </w:r>
            <w:r>
              <w:rPr>
                <w:rFonts w:hint="eastAsia" w:ascii="宋体" w:hAnsi="宋体" w:eastAsia="宋体" w:cs="宋体"/>
                <w:kern w:val="0"/>
                <w:szCs w:val="21"/>
              </w:rPr>
              <w:t>具备履行合同所必需的设备和专业技术能力的证明材料</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4.</w:t>
            </w:r>
            <w:r>
              <w:rPr>
                <w:rFonts w:hint="eastAsia" w:ascii="宋体" w:hAnsi="宋体" w:eastAsia="宋体" w:cs="宋体"/>
                <w:kern w:val="0"/>
                <w:szCs w:val="21"/>
              </w:rPr>
              <w:t>参加政府采购活动前3年内在经营活动中没有重大违法记录的书面声明</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5.</w:t>
            </w:r>
            <w:r>
              <w:rPr>
                <w:rFonts w:hint="eastAsia" w:ascii="宋体" w:hAnsi="宋体" w:eastAsia="宋体" w:cs="宋体"/>
                <w:kern w:val="0"/>
                <w:szCs w:val="21"/>
              </w:rPr>
              <w:t>具备法律、行政法规规定的其他条件的证明材料</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numPr>
                <w:ilvl w:val="0"/>
                <w:numId w:val="0"/>
              </w:numPr>
              <w:adjustRightInd w:val="0"/>
              <w:snapToGrid w:val="0"/>
              <w:spacing w:line="360" w:lineRule="auto"/>
              <w:jc w:val="left"/>
              <w:rPr>
                <w:rFonts w:hint="eastAsia"/>
                <w:lang w:val="en-US" w:eastAsia="zh-CN"/>
              </w:rPr>
            </w:pPr>
            <w:r>
              <w:rPr>
                <w:rFonts w:hint="eastAsia"/>
                <w:lang w:val="en-US" w:eastAsia="zh-CN"/>
              </w:rPr>
              <w:t>6.</w:t>
            </w:r>
            <w:r>
              <w:rPr>
                <w:rFonts w:hint="eastAsia"/>
              </w:rPr>
              <w:t>未被列入 “信用中国”网站（www.creditchina.gov.cn）失信被执行人、重大税收违法案件当事人名单、政府采购严重违法失信行为记录名单的网页打印件</w:t>
            </w:r>
            <w:r>
              <w:rPr>
                <w:rFonts w:hint="eastAsia"/>
                <w:lang w:val="en-US" w:eastAsia="zh-CN"/>
              </w:rPr>
              <w:t>。</w:t>
            </w:r>
          </w:p>
          <w:p>
            <w:pPr>
              <w:adjustRightInd w:val="0"/>
              <w:snapToGrid w:val="0"/>
              <w:spacing w:line="360" w:lineRule="auto"/>
              <w:rPr>
                <w:rFonts w:hint="eastAsia" w:eastAsia="宋体"/>
                <w:lang w:val="en-US" w:eastAsia="zh-CN"/>
              </w:rPr>
            </w:pPr>
            <w:r>
              <w:rPr>
                <w:rFonts w:hint="eastAsia"/>
                <w:color w:val="000000" w:themeColor="text1"/>
                <w:szCs w:val="21"/>
                <w:lang w:val="en-US" w:eastAsia="zh-CN"/>
              </w:rPr>
              <w:t>7.</w:t>
            </w:r>
            <w:r>
              <w:rPr>
                <w:rFonts w:hint="eastAsia"/>
                <w:color w:val="000000" w:themeColor="text1"/>
                <w:szCs w:val="21"/>
              </w:rPr>
              <w:t>本次招标不接受联合体</w:t>
            </w:r>
            <w:r>
              <w:rPr>
                <w:rFonts w:hint="eastAsia"/>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114" w:type="dxa"/>
            <w:tcBorders>
              <w:left w:val="single" w:color="auto" w:sz="4" w:space="0"/>
              <w:right w:val="single" w:color="auto" w:sz="4" w:space="0"/>
            </w:tcBorders>
            <w:vAlign w:val="center"/>
          </w:tcPr>
          <w:p>
            <w:pPr>
              <w:widowControl/>
              <w:adjustRightInd w:val="0"/>
              <w:snapToGrid w:val="0"/>
              <w:spacing w:line="360" w:lineRule="auto"/>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特定条件</w:t>
            </w: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color w:val="000000" w:themeColor="text1"/>
                <w:szCs w:val="21"/>
              </w:rPr>
            </w:pPr>
            <w:r>
              <w:rPr>
                <w:rFonts w:hint="eastAsia"/>
                <w:color w:val="000000" w:themeColor="text1"/>
                <w:szCs w:val="21"/>
                <w:lang w:val="en-US" w:eastAsia="zh-CN"/>
              </w:rPr>
              <w:t>具有合法有效的《医疗机构执业许可证》</w:t>
            </w:r>
          </w:p>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供应商意见</w:t>
            </w: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供应商可对本项目采购需求及评分标准的公正性、专业性、合理性等提出自己正确的意见、建议等（可另页详细表述）。</w:t>
            </w:r>
          </w:p>
        </w:tc>
      </w:tr>
    </w:tbl>
    <w:p>
      <w:pPr>
        <w:pStyle w:val="8"/>
        <w:shd w:val="clear" w:color="auto" w:fill="FFFFFF"/>
        <w:spacing w:before="150" w:beforeAutospacing="0" w:after="150" w:afterAutospacing="0" w:line="360" w:lineRule="atLeast"/>
        <w:rPr>
          <w:rFonts w:hint="eastAsia" w:ascii="Calibri" w:hAnsi="Calibri" w:eastAsia="宋体" w:cs="黑体"/>
          <w:color w:val="000000" w:themeColor="text1"/>
          <w:kern w:val="2"/>
          <w:sz w:val="21"/>
          <w:szCs w:val="22"/>
          <w:lang w:val="en-US" w:eastAsia="zh-CN" w:bidi="ar-SA"/>
        </w:rPr>
      </w:pPr>
      <w:r>
        <w:rPr>
          <w:rFonts w:hint="eastAsia" w:ascii="Calibri" w:hAnsi="Calibri" w:eastAsia="宋体" w:cs="黑体"/>
          <w:color w:val="000000" w:themeColor="text1"/>
          <w:kern w:val="2"/>
          <w:sz w:val="21"/>
          <w:szCs w:val="22"/>
          <w:lang w:val="en-US" w:eastAsia="zh-CN" w:bidi="ar-SA"/>
        </w:rPr>
        <w:t>注意事项：1.供应商必须严格按照公告的内容和要求，完整递交有关资料，逾期递交的将予以拒收。</w:t>
      </w:r>
    </w:p>
    <w:p>
      <w:pPr>
        <w:pStyle w:val="8"/>
        <w:shd w:val="clear" w:color="auto" w:fill="FFFFFF"/>
        <w:spacing w:before="150" w:beforeAutospacing="0" w:after="150" w:afterAutospacing="0" w:line="360" w:lineRule="atLeast"/>
        <w:rPr>
          <w:rFonts w:ascii="微软雅黑" w:hAnsi="微软雅黑" w:eastAsia="微软雅黑"/>
          <w:color w:val="000000" w:themeColor="text1"/>
          <w:sz w:val="18"/>
          <w:szCs w:val="18"/>
        </w:rPr>
      </w:pPr>
      <w:r>
        <w:rPr>
          <w:rFonts w:hint="eastAsia" w:ascii="Calibri" w:hAnsi="Calibri" w:eastAsia="宋体" w:cs="黑体"/>
          <w:color w:val="000000" w:themeColor="text1"/>
          <w:kern w:val="2"/>
          <w:sz w:val="21"/>
          <w:szCs w:val="22"/>
          <w:lang w:val="en-US" w:eastAsia="zh-CN" w:bidi="ar-SA"/>
        </w:rPr>
        <w:t>2.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w:t>
      </w:r>
      <w:r>
        <w:rPr>
          <w:rFonts w:ascii="宋体" w:hAnsi="宋体" w:cs="宋体"/>
          <w:bCs/>
          <w:color w:val="000000" w:themeColor="text1"/>
          <w:szCs w:val="24"/>
        </w:rPr>
        <w:t xml:space="preserve"> </w:t>
      </w:r>
    </w:p>
    <w:p>
      <w:r>
        <w:rPr>
          <w:rFonts w:hint="eastAsia"/>
          <w:color w:val="000000" w:themeColor="text1"/>
        </w:rPr>
        <w:t>3.须在邮件（附件文件名注明公司全称）注明公司全称、项目名称及项目编号（不注明我单位将拒收报名邮件）。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姚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6"/>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x4jFDvQEAAGIDAAAOAAAAAAAAAAEAIAAAAB4BAABkcnMvZTJvRG9jLnhtbFBLBQYAAAAA&#10;BgAGAFkBAABN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CC6982"/>
    <w:multiLevelType w:val="singleLevel"/>
    <w:tmpl w:val="A8CC6982"/>
    <w:lvl w:ilvl="0" w:tentative="0">
      <w:start w:val="3"/>
      <w:numFmt w:val="chineseCounting"/>
      <w:suff w:val="nothing"/>
      <w:lvlText w:val="%1、"/>
      <w:lvlJc w:val="left"/>
      <w:rPr>
        <w:rFonts w:hint="eastAsia"/>
      </w:rPr>
    </w:lvl>
  </w:abstractNum>
  <w:abstractNum w:abstractNumId="1">
    <w:nsid w:val="66984148"/>
    <w:multiLevelType w:val="singleLevel"/>
    <w:tmpl w:val="6698414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BFD"/>
    <w:rsid w:val="00023CBA"/>
    <w:rsid w:val="00024ED8"/>
    <w:rsid w:val="0002546C"/>
    <w:rsid w:val="000274B8"/>
    <w:rsid w:val="00033E96"/>
    <w:rsid w:val="00037A6F"/>
    <w:rsid w:val="00040735"/>
    <w:rsid w:val="00050608"/>
    <w:rsid w:val="000527BB"/>
    <w:rsid w:val="000549A9"/>
    <w:rsid w:val="00056AED"/>
    <w:rsid w:val="00064C78"/>
    <w:rsid w:val="0008654C"/>
    <w:rsid w:val="000867B4"/>
    <w:rsid w:val="00087E3A"/>
    <w:rsid w:val="0009726D"/>
    <w:rsid w:val="000A3309"/>
    <w:rsid w:val="000A6872"/>
    <w:rsid w:val="000B3AFC"/>
    <w:rsid w:val="000C6BBE"/>
    <w:rsid w:val="000C7A81"/>
    <w:rsid w:val="00101CA6"/>
    <w:rsid w:val="00104393"/>
    <w:rsid w:val="00112B11"/>
    <w:rsid w:val="00120CEA"/>
    <w:rsid w:val="00122B5C"/>
    <w:rsid w:val="00127B67"/>
    <w:rsid w:val="00167F38"/>
    <w:rsid w:val="00172A27"/>
    <w:rsid w:val="0019680B"/>
    <w:rsid w:val="001A2453"/>
    <w:rsid w:val="001C3F98"/>
    <w:rsid w:val="001D00A2"/>
    <w:rsid w:val="001F7783"/>
    <w:rsid w:val="00227C74"/>
    <w:rsid w:val="00232881"/>
    <w:rsid w:val="0023592C"/>
    <w:rsid w:val="00241FC1"/>
    <w:rsid w:val="00247E29"/>
    <w:rsid w:val="00250BFB"/>
    <w:rsid w:val="00251305"/>
    <w:rsid w:val="00251DA2"/>
    <w:rsid w:val="0027306D"/>
    <w:rsid w:val="00286F91"/>
    <w:rsid w:val="002912E3"/>
    <w:rsid w:val="002B2C7F"/>
    <w:rsid w:val="002B3115"/>
    <w:rsid w:val="002C0DCE"/>
    <w:rsid w:val="002C2BE3"/>
    <w:rsid w:val="002C55AE"/>
    <w:rsid w:val="002D20BD"/>
    <w:rsid w:val="002D2CFE"/>
    <w:rsid w:val="002E3FA6"/>
    <w:rsid w:val="002F48B3"/>
    <w:rsid w:val="002F4AFA"/>
    <w:rsid w:val="002F7250"/>
    <w:rsid w:val="00301A1C"/>
    <w:rsid w:val="00302295"/>
    <w:rsid w:val="003241BB"/>
    <w:rsid w:val="00334D3C"/>
    <w:rsid w:val="00335DA3"/>
    <w:rsid w:val="00340104"/>
    <w:rsid w:val="00354132"/>
    <w:rsid w:val="00364E6E"/>
    <w:rsid w:val="0038354E"/>
    <w:rsid w:val="00384F78"/>
    <w:rsid w:val="003A3307"/>
    <w:rsid w:val="003B7B1B"/>
    <w:rsid w:val="003E7010"/>
    <w:rsid w:val="003F43BF"/>
    <w:rsid w:val="00407960"/>
    <w:rsid w:val="004136C5"/>
    <w:rsid w:val="0042465C"/>
    <w:rsid w:val="004357AA"/>
    <w:rsid w:val="004451C8"/>
    <w:rsid w:val="004465E5"/>
    <w:rsid w:val="00450AE4"/>
    <w:rsid w:val="0045317F"/>
    <w:rsid w:val="00455635"/>
    <w:rsid w:val="00462B04"/>
    <w:rsid w:val="00465FFA"/>
    <w:rsid w:val="00471D57"/>
    <w:rsid w:val="0048332F"/>
    <w:rsid w:val="0048653B"/>
    <w:rsid w:val="00487186"/>
    <w:rsid w:val="004A769B"/>
    <w:rsid w:val="004B38AE"/>
    <w:rsid w:val="004B5D9E"/>
    <w:rsid w:val="004C102D"/>
    <w:rsid w:val="004C21DE"/>
    <w:rsid w:val="004C2FBC"/>
    <w:rsid w:val="004E0358"/>
    <w:rsid w:val="00501094"/>
    <w:rsid w:val="0051315F"/>
    <w:rsid w:val="0051396C"/>
    <w:rsid w:val="00526415"/>
    <w:rsid w:val="0053126C"/>
    <w:rsid w:val="00532D66"/>
    <w:rsid w:val="005363F4"/>
    <w:rsid w:val="005517D8"/>
    <w:rsid w:val="00552BF4"/>
    <w:rsid w:val="00557E5B"/>
    <w:rsid w:val="0056029B"/>
    <w:rsid w:val="00577CD8"/>
    <w:rsid w:val="00587588"/>
    <w:rsid w:val="00587B63"/>
    <w:rsid w:val="005967B6"/>
    <w:rsid w:val="00597933"/>
    <w:rsid w:val="005A2FA8"/>
    <w:rsid w:val="005B3427"/>
    <w:rsid w:val="005C7953"/>
    <w:rsid w:val="005D0EA4"/>
    <w:rsid w:val="005E47BA"/>
    <w:rsid w:val="0060427B"/>
    <w:rsid w:val="00604A95"/>
    <w:rsid w:val="006101C6"/>
    <w:rsid w:val="0062072B"/>
    <w:rsid w:val="0065413A"/>
    <w:rsid w:val="0066049D"/>
    <w:rsid w:val="00667E7D"/>
    <w:rsid w:val="00673A2E"/>
    <w:rsid w:val="00674BD9"/>
    <w:rsid w:val="00680095"/>
    <w:rsid w:val="00681F25"/>
    <w:rsid w:val="006B1667"/>
    <w:rsid w:val="006B393A"/>
    <w:rsid w:val="006B566D"/>
    <w:rsid w:val="006B5F1F"/>
    <w:rsid w:val="006C22D5"/>
    <w:rsid w:val="006D5ED3"/>
    <w:rsid w:val="00700383"/>
    <w:rsid w:val="00710283"/>
    <w:rsid w:val="00714951"/>
    <w:rsid w:val="00731C4C"/>
    <w:rsid w:val="00737F1A"/>
    <w:rsid w:val="0074795C"/>
    <w:rsid w:val="00754B48"/>
    <w:rsid w:val="00770BDF"/>
    <w:rsid w:val="007779CC"/>
    <w:rsid w:val="00783B2B"/>
    <w:rsid w:val="00785A5A"/>
    <w:rsid w:val="007A1F2A"/>
    <w:rsid w:val="007B43B5"/>
    <w:rsid w:val="00806578"/>
    <w:rsid w:val="00813A8C"/>
    <w:rsid w:val="0082060A"/>
    <w:rsid w:val="00841971"/>
    <w:rsid w:val="00842F5C"/>
    <w:rsid w:val="00843EA0"/>
    <w:rsid w:val="00845C04"/>
    <w:rsid w:val="00855B79"/>
    <w:rsid w:val="0085685E"/>
    <w:rsid w:val="00862199"/>
    <w:rsid w:val="0086302C"/>
    <w:rsid w:val="00877547"/>
    <w:rsid w:val="008C1458"/>
    <w:rsid w:val="008D1697"/>
    <w:rsid w:val="008D3473"/>
    <w:rsid w:val="008D594A"/>
    <w:rsid w:val="008D5B51"/>
    <w:rsid w:val="008E2B15"/>
    <w:rsid w:val="00901DA9"/>
    <w:rsid w:val="009111CF"/>
    <w:rsid w:val="00912E34"/>
    <w:rsid w:val="00917353"/>
    <w:rsid w:val="0092386A"/>
    <w:rsid w:val="00923DAF"/>
    <w:rsid w:val="009328B6"/>
    <w:rsid w:val="00935480"/>
    <w:rsid w:val="00960937"/>
    <w:rsid w:val="00965878"/>
    <w:rsid w:val="00972423"/>
    <w:rsid w:val="00984E78"/>
    <w:rsid w:val="009A662A"/>
    <w:rsid w:val="009B48B8"/>
    <w:rsid w:val="009D463C"/>
    <w:rsid w:val="009D546E"/>
    <w:rsid w:val="009D6071"/>
    <w:rsid w:val="009D6CBD"/>
    <w:rsid w:val="009F32BA"/>
    <w:rsid w:val="009F57B7"/>
    <w:rsid w:val="00A03FCC"/>
    <w:rsid w:val="00A04C63"/>
    <w:rsid w:val="00A07E51"/>
    <w:rsid w:val="00A51660"/>
    <w:rsid w:val="00A767BF"/>
    <w:rsid w:val="00A77B29"/>
    <w:rsid w:val="00A80F76"/>
    <w:rsid w:val="00AA0343"/>
    <w:rsid w:val="00AA16B1"/>
    <w:rsid w:val="00AC4743"/>
    <w:rsid w:val="00AC4FF6"/>
    <w:rsid w:val="00AC6171"/>
    <w:rsid w:val="00AC7064"/>
    <w:rsid w:val="00AD4497"/>
    <w:rsid w:val="00AD466D"/>
    <w:rsid w:val="00AD57E9"/>
    <w:rsid w:val="00AE0050"/>
    <w:rsid w:val="00AE009B"/>
    <w:rsid w:val="00AE2C55"/>
    <w:rsid w:val="00AE565A"/>
    <w:rsid w:val="00AF42F0"/>
    <w:rsid w:val="00B17A0A"/>
    <w:rsid w:val="00B2763F"/>
    <w:rsid w:val="00B27FDA"/>
    <w:rsid w:val="00B37D97"/>
    <w:rsid w:val="00B422CC"/>
    <w:rsid w:val="00B54BA9"/>
    <w:rsid w:val="00B71E64"/>
    <w:rsid w:val="00B76C43"/>
    <w:rsid w:val="00B80D41"/>
    <w:rsid w:val="00B87DB2"/>
    <w:rsid w:val="00BC0370"/>
    <w:rsid w:val="00BD0E7D"/>
    <w:rsid w:val="00BD15BE"/>
    <w:rsid w:val="00BE7C0F"/>
    <w:rsid w:val="00C00883"/>
    <w:rsid w:val="00C045C9"/>
    <w:rsid w:val="00C41FC1"/>
    <w:rsid w:val="00C4672B"/>
    <w:rsid w:val="00C554DF"/>
    <w:rsid w:val="00C704DC"/>
    <w:rsid w:val="00C7583C"/>
    <w:rsid w:val="00C77263"/>
    <w:rsid w:val="00C8060B"/>
    <w:rsid w:val="00C862D3"/>
    <w:rsid w:val="00C94576"/>
    <w:rsid w:val="00CA2ADF"/>
    <w:rsid w:val="00CB1F38"/>
    <w:rsid w:val="00CD3343"/>
    <w:rsid w:val="00CE7D0E"/>
    <w:rsid w:val="00D049F5"/>
    <w:rsid w:val="00D12C9E"/>
    <w:rsid w:val="00D239DE"/>
    <w:rsid w:val="00D2556F"/>
    <w:rsid w:val="00D34002"/>
    <w:rsid w:val="00D35226"/>
    <w:rsid w:val="00D354CC"/>
    <w:rsid w:val="00D51D16"/>
    <w:rsid w:val="00D538BD"/>
    <w:rsid w:val="00D57782"/>
    <w:rsid w:val="00D63126"/>
    <w:rsid w:val="00D64C90"/>
    <w:rsid w:val="00D665CD"/>
    <w:rsid w:val="00D70B51"/>
    <w:rsid w:val="00D71D31"/>
    <w:rsid w:val="00D76028"/>
    <w:rsid w:val="00D85A87"/>
    <w:rsid w:val="00D9157E"/>
    <w:rsid w:val="00DA12FB"/>
    <w:rsid w:val="00DA3AC3"/>
    <w:rsid w:val="00DB7FCC"/>
    <w:rsid w:val="00DC47E0"/>
    <w:rsid w:val="00DE729E"/>
    <w:rsid w:val="00DE75E6"/>
    <w:rsid w:val="00DF4031"/>
    <w:rsid w:val="00DF5BE5"/>
    <w:rsid w:val="00DF750C"/>
    <w:rsid w:val="00E10DD5"/>
    <w:rsid w:val="00E14B01"/>
    <w:rsid w:val="00E20A1B"/>
    <w:rsid w:val="00E401E6"/>
    <w:rsid w:val="00E40ED1"/>
    <w:rsid w:val="00E433B2"/>
    <w:rsid w:val="00E44BA6"/>
    <w:rsid w:val="00E52266"/>
    <w:rsid w:val="00E52889"/>
    <w:rsid w:val="00E61009"/>
    <w:rsid w:val="00E6320A"/>
    <w:rsid w:val="00E643E2"/>
    <w:rsid w:val="00E652DF"/>
    <w:rsid w:val="00E721AB"/>
    <w:rsid w:val="00E85276"/>
    <w:rsid w:val="00E901E4"/>
    <w:rsid w:val="00E94B33"/>
    <w:rsid w:val="00EA5552"/>
    <w:rsid w:val="00EA7180"/>
    <w:rsid w:val="00EB4E46"/>
    <w:rsid w:val="00EB5D3C"/>
    <w:rsid w:val="00EB7758"/>
    <w:rsid w:val="00ED3F8E"/>
    <w:rsid w:val="00EE5A92"/>
    <w:rsid w:val="00EF6F42"/>
    <w:rsid w:val="00F00A58"/>
    <w:rsid w:val="00F015B2"/>
    <w:rsid w:val="00F06506"/>
    <w:rsid w:val="00F10D7E"/>
    <w:rsid w:val="00F22277"/>
    <w:rsid w:val="00F232EB"/>
    <w:rsid w:val="00F27BC7"/>
    <w:rsid w:val="00F33A46"/>
    <w:rsid w:val="00F35110"/>
    <w:rsid w:val="00F52DE9"/>
    <w:rsid w:val="00F67B38"/>
    <w:rsid w:val="00F75C7B"/>
    <w:rsid w:val="00F7772A"/>
    <w:rsid w:val="00F83087"/>
    <w:rsid w:val="00F85D93"/>
    <w:rsid w:val="00F959CE"/>
    <w:rsid w:val="00F95A75"/>
    <w:rsid w:val="00FA7FE1"/>
    <w:rsid w:val="00FB6F4C"/>
    <w:rsid w:val="00FD4208"/>
    <w:rsid w:val="00FE7F1F"/>
    <w:rsid w:val="00FF19EE"/>
    <w:rsid w:val="00FF427F"/>
    <w:rsid w:val="01790D18"/>
    <w:rsid w:val="0E1331EC"/>
    <w:rsid w:val="11A51AC2"/>
    <w:rsid w:val="141B7793"/>
    <w:rsid w:val="14D62568"/>
    <w:rsid w:val="18C45DF2"/>
    <w:rsid w:val="18D576C9"/>
    <w:rsid w:val="1C5B20D6"/>
    <w:rsid w:val="1C987838"/>
    <w:rsid w:val="1D3A4920"/>
    <w:rsid w:val="1DF625FB"/>
    <w:rsid w:val="1E1A4ACC"/>
    <w:rsid w:val="202042A9"/>
    <w:rsid w:val="25AA7995"/>
    <w:rsid w:val="27B106C6"/>
    <w:rsid w:val="2F747B39"/>
    <w:rsid w:val="36402EC4"/>
    <w:rsid w:val="36620CC0"/>
    <w:rsid w:val="39CF47DA"/>
    <w:rsid w:val="39DE3B7B"/>
    <w:rsid w:val="3BC900F9"/>
    <w:rsid w:val="3E6350B2"/>
    <w:rsid w:val="3F524F8F"/>
    <w:rsid w:val="4021663B"/>
    <w:rsid w:val="41F13754"/>
    <w:rsid w:val="469F68E0"/>
    <w:rsid w:val="4F7F539C"/>
    <w:rsid w:val="570C6CFC"/>
    <w:rsid w:val="59B96C2A"/>
    <w:rsid w:val="5A452253"/>
    <w:rsid w:val="5CBA3BBE"/>
    <w:rsid w:val="5DB549BD"/>
    <w:rsid w:val="5F4B73FF"/>
    <w:rsid w:val="623E5D6C"/>
    <w:rsid w:val="629D22A4"/>
    <w:rsid w:val="63BF4A1A"/>
    <w:rsid w:val="65336FCC"/>
    <w:rsid w:val="68CD2E01"/>
    <w:rsid w:val="68F0582B"/>
    <w:rsid w:val="6AAA6CCA"/>
    <w:rsid w:val="6B2E3BA7"/>
    <w:rsid w:val="73FB1FE7"/>
    <w:rsid w:val="77471B72"/>
    <w:rsid w:val="7AC45324"/>
    <w:rsid w:val="7E0A01C2"/>
    <w:rsid w:val="7F894542"/>
    <w:rsid w:val="7F8D6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16"/>
    <w:qFormat/>
    <w:uiPriority w:val="9"/>
    <w:pPr>
      <w:keepNext/>
      <w:keepLines/>
      <w:spacing w:before="340" w:after="330" w:line="576" w:lineRule="auto"/>
      <w:outlineLvl w:val="0"/>
    </w:pPr>
    <w:rPr>
      <w:b/>
      <w:bCs/>
      <w:kern w:val="44"/>
      <w:sz w:val="44"/>
      <w:szCs w:val="44"/>
    </w:rPr>
  </w:style>
  <w:style w:type="paragraph" w:styleId="4">
    <w:name w:val="heading 2"/>
    <w:basedOn w:val="1"/>
    <w:next w:val="1"/>
    <w:semiHidden/>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unhideWhenUsed/>
    <w:qFormat/>
    <w:uiPriority w:val="99"/>
    <w:rPr>
      <w:rFonts w:ascii="宋体" w:hAnsiTheme="minorHAnsi" w:eastAsiaTheme="minorEastAsia" w:cstheme="minorBidi"/>
      <w:sz w:val="24"/>
    </w:rPr>
  </w:style>
  <w:style w:type="paragraph" w:styleId="5">
    <w:name w:val="Balloon Text"/>
    <w:basedOn w:val="1"/>
    <w:link w:val="19"/>
    <w:unhideWhenUsed/>
    <w:qFormat/>
    <w:uiPriority w:val="99"/>
    <w:rPr>
      <w:sz w:val="18"/>
      <w:szCs w:val="18"/>
    </w:rPr>
  </w:style>
  <w:style w:type="paragraph" w:styleId="6">
    <w:name w:val="footer"/>
    <w:basedOn w:val="1"/>
    <w:link w:val="18"/>
    <w:unhideWhenUsed/>
    <w:qFormat/>
    <w:uiPriority w:val="0"/>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Autospacing="1" w:afterAutospacing="1"/>
      <w:jc w:val="left"/>
    </w:pPr>
    <w:rPr>
      <w:rFonts w:cs="Times New Roman"/>
      <w:kern w:val="0"/>
      <w:sz w:val="24"/>
    </w:rPr>
  </w:style>
  <w:style w:type="paragraph" w:styleId="9">
    <w:name w:val="Title"/>
    <w:basedOn w:val="1"/>
    <w:next w:val="1"/>
    <w:link w:val="20"/>
    <w:qFormat/>
    <w:uiPriority w:val="0"/>
    <w:pPr>
      <w:spacing w:before="240" w:after="60"/>
      <w:jc w:val="center"/>
      <w:outlineLvl w:val="0"/>
    </w:pPr>
    <w:rPr>
      <w:rFonts w:ascii="Cambria" w:hAnsi="Cambria" w:eastAsia="方正小标宋简体" w:cs="Times New Roman"/>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paragraph" w:customStyle="1" w:styleId="14">
    <w:name w:val="表格文字"/>
    <w:basedOn w:val="1"/>
    <w:qFormat/>
    <w:uiPriority w:val="0"/>
    <w:pPr>
      <w:spacing w:before="25" w:after="25"/>
      <w:jc w:val="left"/>
    </w:pPr>
    <w:rPr>
      <w:bCs/>
      <w:spacing w:val="10"/>
      <w:kern w:val="0"/>
      <w:sz w:val="24"/>
    </w:rPr>
  </w:style>
  <w:style w:type="paragraph" w:customStyle="1" w:styleId="1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标题 1 Char"/>
    <w:basedOn w:val="12"/>
    <w:link w:val="3"/>
    <w:qFormat/>
    <w:uiPriority w:val="9"/>
    <w:rPr>
      <w:rFonts w:eastAsia="宋体"/>
      <w:b/>
      <w:bCs/>
      <w:kern w:val="44"/>
      <w:sz w:val="44"/>
      <w:szCs w:val="44"/>
    </w:rPr>
  </w:style>
  <w:style w:type="character" w:customStyle="1" w:styleId="17">
    <w:name w:val="页眉 Char"/>
    <w:basedOn w:val="12"/>
    <w:link w:val="7"/>
    <w:qFormat/>
    <w:uiPriority w:val="99"/>
    <w:rPr>
      <w:sz w:val="18"/>
      <w:szCs w:val="18"/>
    </w:rPr>
  </w:style>
  <w:style w:type="character" w:customStyle="1" w:styleId="18">
    <w:name w:val="页脚 Char"/>
    <w:basedOn w:val="12"/>
    <w:link w:val="6"/>
    <w:qFormat/>
    <w:uiPriority w:val="99"/>
    <w:rPr>
      <w:sz w:val="18"/>
      <w:szCs w:val="18"/>
    </w:rPr>
  </w:style>
  <w:style w:type="character" w:customStyle="1" w:styleId="19">
    <w:name w:val="批注框文本 Char"/>
    <w:basedOn w:val="12"/>
    <w:link w:val="5"/>
    <w:semiHidden/>
    <w:qFormat/>
    <w:uiPriority w:val="99"/>
    <w:rPr>
      <w:sz w:val="18"/>
      <w:szCs w:val="18"/>
    </w:rPr>
  </w:style>
  <w:style w:type="character" w:customStyle="1" w:styleId="20">
    <w:name w:val="标题 Char"/>
    <w:basedOn w:val="12"/>
    <w:link w:val="9"/>
    <w:qFormat/>
    <w:uiPriority w:val="0"/>
    <w:rPr>
      <w:rFonts w:ascii="Cambria" w:hAnsi="Cambria" w:eastAsia="方正小标宋简体"/>
      <w:b/>
      <w:bCs/>
      <w:kern w:val="2"/>
      <w:sz w:val="32"/>
      <w:szCs w:val="32"/>
    </w:rPr>
  </w:style>
  <w:style w:type="character" w:customStyle="1" w:styleId="21">
    <w:name w:val="正文文本 Char"/>
    <w:basedOn w:val="12"/>
    <w:link w:val="2"/>
    <w:qFormat/>
    <w:uiPriority w:val="99"/>
    <w:rPr>
      <w:rFonts w:ascii="宋体" w:hAnsiTheme="minorHAnsi" w:eastAsiaTheme="minorEastAsia" w:cstheme="minorBidi"/>
      <w:kern w:val="2"/>
      <w:sz w:val="24"/>
      <w:szCs w:val="22"/>
    </w:rPr>
  </w:style>
  <w:style w:type="paragraph" w:styleId="22">
    <w:name w:val="List Paragraph"/>
    <w:basedOn w:val="1"/>
    <w:unhideWhenUsed/>
    <w:qFormat/>
    <w:uiPriority w:val="99"/>
    <w:pPr>
      <w:ind w:firstLine="420" w:firstLineChars="200"/>
    </w:pPr>
  </w:style>
  <w:style w:type="paragraph" w:customStyle="1" w:styleId="23">
    <w:name w:val="正文 New New New New New New New New New"/>
    <w:qFormat/>
    <w:uiPriority w:val="0"/>
    <w:pPr>
      <w:widowControl w:val="0"/>
      <w:jc w:val="both"/>
    </w:pPr>
    <w:rPr>
      <w:rFonts w:hint="eastAsia" w:ascii="Times New Roman" w:hAnsi="Times New Roman" w:eastAsia="宋体" w:cs="Calibri"/>
      <w:kern w:val="2"/>
      <w:sz w:val="21"/>
      <w:lang w:val="en-US" w:eastAsia="zh-CN" w:bidi="ar-SA"/>
    </w:rPr>
  </w:style>
  <w:style w:type="paragraph" w:customStyle="1" w:styleId="24">
    <w:name w:val="文档正文"/>
    <w:basedOn w:val="1"/>
    <w:qFormat/>
    <w:uiPriority w:val="0"/>
    <w:pPr>
      <w:adjustRightInd w:val="0"/>
      <w:spacing w:line="312" w:lineRule="atLeast"/>
      <w:ind w:firstLine="567"/>
      <w:textAlignment w:val="baseline"/>
    </w:pPr>
    <w:rPr>
      <w:rFonts w:ascii="长城仿宋" w:hAnsi="Times New Roman" w:eastAsia="长城仿宋" w:cs="Times New Roman"/>
      <w:kern w:val="0"/>
      <w:sz w:val="28"/>
      <w:szCs w:val="24"/>
    </w:rPr>
  </w:style>
  <w:style w:type="paragraph" w:customStyle="1" w:styleId="25">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26">
    <w:name w:val="样式 标题 2 + Times New Roman 四号 非加粗 段前: 5 磅 段后: 0 磅 行距: 固定值 20..."/>
    <w:basedOn w:val="4"/>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27">
    <w:name w:val="Table Paragraph"/>
    <w:basedOn w:val="1"/>
    <w:qFormat/>
    <w:uiPriority w:val="1"/>
    <w:pPr>
      <w:autoSpaceDE w:val="0"/>
      <w:autoSpaceDN w:val="0"/>
      <w:adjustRightInd w:val="0"/>
      <w:jc w:val="left"/>
    </w:pPr>
    <w:rPr>
      <w:rFonts w:eastAsia="宋体"/>
      <w:kern w:val="0"/>
      <w:sz w:val="24"/>
    </w:rPr>
  </w:style>
  <w:style w:type="paragraph" w:customStyle="1" w:styleId="28">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29">
    <w:name w:val="列出段落3"/>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16D148-545F-4857-BDAD-11D14E4685C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638</Words>
  <Characters>3637</Characters>
  <Lines>30</Lines>
  <Paragraphs>8</Paragraphs>
  <TotalTime>4</TotalTime>
  <ScaleCrop>false</ScaleCrop>
  <LinksUpToDate>false</LinksUpToDate>
  <CharactersWithSpaces>4267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2019-10-31T02:40:00Z</dcterms:created>
  <dc:creator>wangh</dc:creator>
  <cp:lastModifiedBy>Administrator</cp:lastModifiedBy>
  <cp:lastPrinted>2020-10-27T00:57:00Z</cp:lastPrinted>
  <dcterms:modified xsi:type="dcterms:W3CDTF">2020-10-28T07:51:32Z</dcterms:modified>
  <dc:title>湖北省省级政府采购需求公示</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