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color w:val="000000" w:themeColor="text1"/>
          <w:w w:val="120"/>
          <w:sz w:val="52"/>
          <w:szCs w:val="52"/>
        </w:rPr>
      </w:pPr>
      <w:r>
        <w:rPr>
          <w:rFonts w:hint="eastAsia"/>
          <w:color w:val="000000" w:themeColor="text1"/>
          <w:w w:val="120"/>
          <w:sz w:val="52"/>
          <w:szCs w:val="52"/>
        </w:rPr>
        <w:t>阳新县县级政府采购</w:t>
      </w:r>
    </w:p>
    <w:p>
      <w:pPr>
        <w:pStyle w:val="7"/>
        <w:adjustRightInd w:val="0"/>
        <w:snapToGrid w:val="0"/>
        <w:spacing w:line="720" w:lineRule="auto"/>
        <w:jc w:val="center"/>
        <w:rPr>
          <w:rFonts w:ascii="黑体" w:hAnsi="黑体" w:eastAsia="黑体" w:cs="Times New Roman"/>
          <w:b/>
          <w:bCs/>
          <w:sz w:val="36"/>
          <w:szCs w:val="24"/>
        </w:rPr>
      </w:pPr>
      <w:r>
        <w:rPr>
          <w:rFonts w:hint="eastAsia" w:ascii="Times New Roman" w:hAnsi="Times New Roman" w:eastAsia="宋体" w:cs="Times New Roman"/>
          <w:snapToGrid w:val="0"/>
          <w:kern w:val="10"/>
          <w:sz w:val="144"/>
          <w:szCs w:val="144"/>
        </w:rPr>
        <w:t>招 标 文 件</w:t>
      </w:r>
    </w:p>
    <w:p>
      <w:pPr>
        <w:spacing w:line="480" w:lineRule="auto"/>
        <w:ind w:firstLine="640" w:firstLineChars="200"/>
        <w:rPr>
          <w:rFonts w:hint="default" w:eastAsiaTheme="minorEastAsia"/>
          <w:bCs/>
          <w:color w:val="000000" w:themeColor="text1"/>
          <w:sz w:val="32"/>
          <w:szCs w:val="32"/>
          <w:u w:val="single"/>
          <w:lang w:val="en-US" w:eastAsia="zh-CN"/>
        </w:rPr>
      </w:pPr>
      <w:r>
        <w:rPr>
          <w:rFonts w:hint="eastAsia"/>
          <w:bCs/>
          <w:color w:val="000000" w:themeColor="text1"/>
          <w:sz w:val="32"/>
          <w:szCs w:val="32"/>
        </w:rPr>
        <w:t>项目编号：</w:t>
      </w:r>
      <w:r>
        <w:rPr>
          <w:rFonts w:hint="eastAsia"/>
          <w:bCs/>
          <w:color w:val="000000" w:themeColor="text1"/>
          <w:sz w:val="32"/>
          <w:szCs w:val="32"/>
          <w:lang w:val="en-US" w:eastAsia="zh-CN"/>
        </w:rPr>
        <w:t>131-2020CG-201</w:t>
      </w:r>
    </w:p>
    <w:p>
      <w:pPr>
        <w:widowControl/>
        <w:ind w:left="2238" w:leftChars="304" w:hanging="1600" w:hangingChars="500"/>
        <w:rPr>
          <w:bCs/>
          <w:color w:val="000000" w:themeColor="text1"/>
          <w:sz w:val="32"/>
          <w:szCs w:val="32"/>
          <w:u w:val="single"/>
        </w:rPr>
      </w:pPr>
      <w:r>
        <w:rPr>
          <w:rFonts w:hint="eastAsia"/>
          <w:bCs/>
          <w:color w:val="000000" w:themeColor="text1"/>
          <w:sz w:val="32"/>
          <w:szCs w:val="32"/>
        </w:rPr>
        <w:t>采 购 人：黄石新港（物流）工业园区经济发展局</w:t>
      </w:r>
    </w:p>
    <w:p>
      <w:pPr>
        <w:spacing w:line="480" w:lineRule="auto"/>
        <w:ind w:left="2238" w:leftChars="304" w:hanging="1600" w:hangingChars="500"/>
        <w:rPr>
          <w:bCs/>
          <w:color w:val="000000" w:themeColor="text1"/>
          <w:sz w:val="32"/>
          <w:szCs w:val="32"/>
        </w:rPr>
      </w:pPr>
      <w:r>
        <w:rPr>
          <w:rFonts w:hint="eastAsia"/>
          <w:bCs/>
          <w:color w:val="000000" w:themeColor="text1"/>
          <w:sz w:val="32"/>
          <w:szCs w:val="32"/>
        </w:rPr>
        <w:t>项目名称：湖北阳新经济开发区总体规划（2019-2030年）（调整）环评项目</w:t>
      </w:r>
    </w:p>
    <w:p>
      <w:pPr>
        <w:spacing w:line="480" w:lineRule="auto"/>
        <w:ind w:left="2238" w:leftChars="304" w:hanging="1600" w:hangingChars="500"/>
        <w:rPr>
          <w:rFonts w:ascii="宋体" w:hAnsi="宋体" w:eastAsia="宋体" w:cs="Times New Roman"/>
          <w:sz w:val="36"/>
          <w:szCs w:val="36"/>
        </w:rPr>
      </w:pPr>
      <w:r>
        <w:rPr>
          <w:rFonts w:hint="eastAsia"/>
          <w:bCs/>
          <w:color w:val="000000" w:themeColor="text1"/>
          <w:sz w:val="32"/>
          <w:szCs w:val="32"/>
        </w:rPr>
        <w:t>采购内容：经济开发区环境质量现状检测、现有工业企业污染排放调查、环评报告编制等工作</w:t>
      </w:r>
    </w:p>
    <w:p>
      <w:pPr>
        <w:jc w:val="center"/>
        <w:rPr>
          <w:bCs/>
          <w:snapToGrid w:val="0"/>
          <w:color w:val="000000" w:themeColor="text1"/>
          <w:kern w:val="0"/>
          <w:position w:val="-98"/>
          <w:sz w:val="72"/>
          <w:szCs w:val="72"/>
        </w:rPr>
      </w:pPr>
      <w:r>
        <w:rPr>
          <w:rFonts w:hint="eastAsia"/>
          <w:bCs/>
          <w:snapToGrid w:val="0"/>
          <w:color w:val="000000" w:themeColor="text1"/>
          <w:kern w:val="0"/>
          <w:position w:val="-98"/>
          <w:sz w:val="72"/>
          <w:szCs w:val="72"/>
        </w:rPr>
        <w:t>武汉富纳工程咨询有限公司</w:t>
      </w:r>
    </w:p>
    <w:p>
      <w:pPr>
        <w:jc w:val="center"/>
        <w:rPr>
          <w:rFonts w:ascii="黑体" w:hAnsi="黑体" w:eastAsia="黑体"/>
          <w:b/>
          <w:color w:val="FF0000"/>
          <w:sz w:val="44"/>
        </w:rPr>
      </w:pPr>
      <w:r>
        <w:rPr>
          <w:rFonts w:hint="eastAsia"/>
          <w:color w:val="000000" w:themeColor="text1"/>
          <w:sz w:val="32"/>
          <w:szCs w:val="32"/>
        </w:rPr>
        <w:t>2020年</w:t>
      </w:r>
      <w:r>
        <w:rPr>
          <w:rFonts w:hint="eastAsia"/>
          <w:color w:val="000000" w:themeColor="text1"/>
          <w:sz w:val="32"/>
          <w:szCs w:val="32"/>
          <w:lang w:val="en-US" w:eastAsia="zh-CN"/>
        </w:rPr>
        <w:t>10</w:t>
      </w:r>
      <w:r>
        <w:rPr>
          <w:rFonts w:hint="eastAsia" w:asciiTheme="minorEastAsia" w:hAnsiTheme="minorEastAsia" w:cstheme="minorEastAsia"/>
          <w:bCs/>
          <w:sz w:val="32"/>
          <w:szCs w:val="32"/>
        </w:rPr>
        <w:t>月</w:t>
      </w:r>
    </w:p>
    <w:p>
      <w:pPr>
        <w:sectPr>
          <w:headerReference r:id="rId3" w:type="default"/>
          <w:footerReference r:id="rId5" w:type="default"/>
          <w:headerReference r:id="rId4" w:type="even"/>
          <w:footerReference r:id="rId6" w:type="even"/>
          <w:pgSz w:w="11906" w:h="16838"/>
          <w:pgMar w:top="3402" w:right="1191" w:bottom="1134" w:left="1191" w:header="680" w:footer="680" w:gutter="0"/>
          <w:cols w:space="425" w:num="1"/>
          <w:docGrid w:type="lines" w:linePitch="312" w:charSpace="0"/>
        </w:sectPr>
      </w:pPr>
    </w:p>
    <w:p>
      <w:pPr>
        <w:tabs>
          <w:tab w:val="left" w:pos="2522"/>
          <w:tab w:val="center" w:pos="4785"/>
        </w:tabs>
        <w:spacing w:beforeLines="100"/>
        <w:jc w:val="left"/>
        <w:rPr>
          <w:rFonts w:ascii="黑体" w:hAnsi="黑体" w:eastAsia="黑体"/>
          <w:sz w:val="44"/>
          <w:szCs w:val="44"/>
        </w:rPr>
      </w:pPr>
      <w:r>
        <w:rPr>
          <w:rFonts w:hint="eastAsia" w:ascii="黑体" w:hAnsi="黑体" w:eastAsia="黑体"/>
          <w:sz w:val="44"/>
          <w:szCs w:val="44"/>
        </w:rPr>
        <w:tab/>
      </w:r>
      <w:r>
        <w:rPr>
          <w:rFonts w:hint="eastAsia" w:ascii="黑体" w:hAnsi="黑体" w:eastAsia="黑体"/>
          <w:sz w:val="44"/>
          <w:szCs w:val="44"/>
        </w:rPr>
        <w:tab/>
      </w:r>
      <w:r>
        <w:rPr>
          <w:rFonts w:hint="eastAsia" w:ascii="黑体" w:hAnsi="黑体" w:eastAsia="黑体"/>
          <w:sz w:val="44"/>
          <w:szCs w:val="44"/>
        </w:rPr>
        <w:t>目   录</w:t>
      </w:r>
    </w:p>
    <w:sdt>
      <w:sdtPr>
        <w:rPr>
          <w:lang w:val="zh-CN"/>
        </w:rPr>
        <w:id w:val="1482579200"/>
      </w:sdtPr>
      <w:sdtEndPr>
        <w:rPr>
          <w:b w:val="0"/>
          <w:bCs/>
          <w:lang w:val="zh-CN"/>
        </w:rPr>
      </w:sdtEndPr>
      <w:sdtContent>
        <w:p>
          <w:pPr>
            <w:pStyle w:val="12"/>
            <w:tabs>
              <w:tab w:val="left" w:pos="1260"/>
              <w:tab w:val="right" w:leader="dot" w:pos="9514"/>
            </w:tabs>
            <w:rPr>
              <w:rFonts w:eastAsiaTheme="minorEastAsia"/>
              <w:b w:val="0"/>
              <w:iCs w:val="0"/>
              <w:color w:val="auto"/>
              <w:kern w:val="2"/>
              <w:sz w:val="21"/>
            </w:rPr>
          </w:pPr>
          <w:r>
            <w:fldChar w:fldCharType="begin"/>
          </w:r>
          <w:r>
            <w:instrText xml:space="preserve"> TOC \o "1-2" \h \z \u </w:instrText>
          </w:r>
          <w:r>
            <w:fldChar w:fldCharType="separate"/>
          </w:r>
          <w:r>
            <w:fldChar w:fldCharType="begin"/>
          </w:r>
          <w:r>
            <w:instrText xml:space="preserve"> HYPERLINK \l "_Toc48230881" </w:instrText>
          </w:r>
          <w:r>
            <w:fldChar w:fldCharType="separate"/>
          </w:r>
          <w:r>
            <w:rPr>
              <w:rStyle w:val="20"/>
              <w:rFonts w:hint="eastAsia" w:ascii="黑体" w:hAnsi="黑体"/>
            </w:rPr>
            <w:t>第一章</w:t>
          </w:r>
          <w:r>
            <w:rPr>
              <w:rFonts w:eastAsiaTheme="minorEastAsia"/>
              <w:b w:val="0"/>
              <w:iCs w:val="0"/>
              <w:color w:val="auto"/>
              <w:kern w:val="2"/>
              <w:sz w:val="21"/>
            </w:rPr>
            <w:tab/>
          </w:r>
          <w:r>
            <w:rPr>
              <w:rStyle w:val="20"/>
              <w:rFonts w:hint="eastAsia" w:ascii="黑体" w:hAnsi="黑体"/>
            </w:rPr>
            <w:t>投标邀请书</w:t>
          </w:r>
          <w:r>
            <w:tab/>
          </w:r>
          <w:r>
            <w:fldChar w:fldCharType="begin"/>
          </w:r>
          <w:r>
            <w:instrText xml:space="preserve"> PAGEREF _Toc48230881 \h </w:instrText>
          </w:r>
          <w:r>
            <w:fldChar w:fldCharType="separate"/>
          </w:r>
          <w:r>
            <w:t>4</w:t>
          </w:r>
          <w:r>
            <w:fldChar w:fldCharType="end"/>
          </w:r>
          <w:r>
            <w:fldChar w:fldCharType="end"/>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"_Toc48230882" </w:instrText>
          </w:r>
          <w:r>
            <w:fldChar w:fldCharType="separate"/>
          </w:r>
          <w:r>
            <w:rPr>
              <w:rStyle w:val="20"/>
              <w:rFonts w:hint="eastAsia" w:ascii="黑体" w:hAnsi="黑体"/>
            </w:rPr>
            <w:t>第二章</w:t>
          </w:r>
          <w:r>
            <w:rPr>
              <w:rFonts w:eastAsiaTheme="minorEastAsia"/>
              <w:b w:val="0"/>
              <w:iCs w:val="0"/>
              <w:color w:val="auto"/>
              <w:kern w:val="2"/>
              <w:sz w:val="21"/>
            </w:rPr>
            <w:tab/>
          </w:r>
          <w:r>
            <w:rPr>
              <w:rStyle w:val="20"/>
              <w:rFonts w:hint="eastAsia" w:ascii="黑体" w:hAnsi="黑体"/>
            </w:rPr>
            <w:t>投标人须知</w:t>
          </w:r>
          <w:r>
            <w:tab/>
          </w:r>
          <w:r>
            <w:fldChar w:fldCharType="begin"/>
          </w:r>
          <w:r>
            <w:instrText xml:space="preserve"> PAGEREF _Toc48230882 \h </w:instrText>
          </w:r>
          <w:r>
            <w:fldChar w:fldCharType="separate"/>
          </w:r>
          <w:r>
            <w:t>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"_Toc48230883" </w:instrText>
          </w:r>
          <w:r>
            <w:fldChar w:fldCharType="separate"/>
          </w:r>
          <w:r>
            <w:rPr>
              <w:rStyle w:val="20"/>
              <w:rFonts w:hint="eastAsia" w:cs="Times New Roman" w:asciiTheme="majorEastAsia" w:hAnsiTheme="majorEastAsia" w:eastAsiaTheme="majorEastAsia"/>
              <w:b/>
              <w:bCs/>
              <w:lang w:val="zh-CN"/>
            </w:rPr>
            <w:t>投标须知前附表</w:t>
          </w:r>
          <w:r>
            <w:tab/>
          </w:r>
          <w:r>
            <w:fldChar w:fldCharType="begin"/>
          </w:r>
          <w:r>
            <w:instrText xml:space="preserve"> PAGEREF _Toc48230883 \h </w:instrText>
          </w:r>
          <w:r>
            <w:fldChar w:fldCharType="separate"/>
          </w:r>
          <w:r>
            <w:t>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"_Toc48230884" </w:instrText>
          </w:r>
          <w:r>
            <w:fldChar w:fldCharType="separate"/>
          </w:r>
          <w:r>
            <w:rPr>
              <w:rStyle w:val="20"/>
              <w:rFonts w:hint="eastAsia" w:cs="Times New Roman" w:asciiTheme="majorEastAsia" w:hAnsiTheme="majorEastAsia"/>
              <w:lang w:val="zh-CN"/>
            </w:rPr>
            <w:t>一、</w:t>
          </w:r>
          <w:r>
            <w:rPr>
              <w:rFonts w:asciiTheme="minorHAnsi" w:hAnsiTheme="minorHAnsi"/>
              <w:iCs w:val="0"/>
              <w:color w:val="auto"/>
              <w:kern w:val="2"/>
              <w:sz w:val="21"/>
            </w:rPr>
            <w:tab/>
          </w:r>
          <w:r>
            <w:rPr>
              <w:rStyle w:val="20"/>
              <w:rFonts w:hint="eastAsia" w:cs="Times New Roman" w:asciiTheme="majorEastAsia" w:hAnsiTheme="majorEastAsia"/>
              <w:lang w:val="zh-CN"/>
            </w:rPr>
            <w:t>说</w:t>
          </w:r>
          <w:r>
            <w:rPr>
              <w:rStyle w:val="20"/>
              <w:rFonts w:cs="Times New Roman" w:asciiTheme="majorEastAsia" w:hAnsiTheme="majorEastAsia"/>
              <w:lang w:val="zh-CN"/>
            </w:rPr>
            <w:t xml:space="preserve">  </w:t>
          </w:r>
          <w:r>
            <w:rPr>
              <w:rStyle w:val="20"/>
              <w:rFonts w:hint="eastAsia" w:cs="Times New Roman" w:asciiTheme="majorEastAsia" w:hAnsiTheme="majorEastAsia"/>
              <w:lang w:val="zh-CN"/>
            </w:rPr>
            <w:t>明</w:t>
          </w:r>
          <w:r>
            <w:tab/>
          </w:r>
          <w:r>
            <w:fldChar w:fldCharType="begin"/>
          </w:r>
          <w:r>
            <w:instrText xml:space="preserve"> PAGEREF _Toc48230884 \h </w:instrText>
          </w:r>
          <w:r>
            <w:fldChar w:fldCharType="separate"/>
          </w:r>
          <w:r>
            <w:t>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"_Toc48230885" </w:instrText>
          </w:r>
          <w:r>
            <w:fldChar w:fldCharType="separate"/>
          </w:r>
          <w:r>
            <w:rPr>
              <w:rStyle w:val="20"/>
              <w:rFonts w:hint="eastAsia" w:cs="Times New Roman" w:asciiTheme="majorEastAsia" w:hAnsiTheme="majorEastAsia"/>
              <w:lang w:val="zh-CN"/>
            </w:rPr>
            <w:t>二、</w:t>
          </w:r>
          <w:r>
            <w:rPr>
              <w:rFonts w:asciiTheme="minorHAnsi" w:hAnsiTheme="minorHAnsi"/>
              <w:iCs w:val="0"/>
              <w:color w:val="auto"/>
              <w:kern w:val="2"/>
              <w:sz w:val="21"/>
            </w:rPr>
            <w:tab/>
          </w:r>
          <w:r>
            <w:rPr>
              <w:rStyle w:val="20"/>
              <w:rFonts w:hint="eastAsia" w:cs="Times New Roman" w:asciiTheme="majorEastAsia" w:hAnsiTheme="majorEastAsia"/>
              <w:lang w:val="zh-CN"/>
            </w:rPr>
            <w:t>招标文件</w:t>
          </w:r>
          <w:r>
            <w:tab/>
          </w:r>
          <w:r>
            <w:fldChar w:fldCharType="begin"/>
          </w:r>
          <w:r>
            <w:instrText xml:space="preserve"> PAGEREF _Toc48230885 \h </w:instrText>
          </w:r>
          <w:r>
            <w:fldChar w:fldCharType="separate"/>
          </w:r>
          <w:r>
            <w:t>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"_Toc48230886" </w:instrText>
          </w:r>
          <w:r>
            <w:fldChar w:fldCharType="separate"/>
          </w:r>
          <w:r>
            <w:rPr>
              <w:rStyle w:val="20"/>
              <w:rFonts w:hint="eastAsia" w:cs="Times New Roman" w:asciiTheme="majorEastAsia" w:hAnsiTheme="majorEastAsia"/>
              <w:lang w:val="zh-CN"/>
            </w:rPr>
            <w:t>三、</w:t>
          </w:r>
          <w:r>
            <w:rPr>
              <w:rFonts w:asciiTheme="minorHAnsi" w:hAnsiTheme="minorHAnsi"/>
              <w:iCs w:val="0"/>
              <w:color w:val="auto"/>
              <w:kern w:val="2"/>
              <w:sz w:val="21"/>
            </w:rPr>
            <w:tab/>
          </w:r>
          <w:r>
            <w:rPr>
              <w:rStyle w:val="20"/>
              <w:rFonts w:hint="eastAsia" w:cs="Times New Roman" w:asciiTheme="majorEastAsia" w:hAnsiTheme="majorEastAsia"/>
              <w:lang w:val="zh-CN"/>
            </w:rPr>
            <w:t>投标文件</w:t>
          </w:r>
          <w:r>
            <w:tab/>
          </w:r>
          <w:r>
            <w:fldChar w:fldCharType="begin"/>
          </w:r>
          <w:r>
            <w:instrText xml:space="preserve"> PAGEREF _Toc48230886 \h </w:instrText>
          </w:r>
          <w:r>
            <w:fldChar w:fldCharType="separate"/>
          </w:r>
          <w:r>
            <w:t>9</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"_Toc48230887" </w:instrText>
          </w:r>
          <w:r>
            <w:fldChar w:fldCharType="separate"/>
          </w:r>
          <w:r>
            <w:rPr>
              <w:rStyle w:val="20"/>
              <w:rFonts w:hint="eastAsia" w:cs="Times New Roman" w:asciiTheme="majorEastAsia" w:hAnsiTheme="majorEastAsia"/>
              <w:lang w:val="zh-CN"/>
            </w:rPr>
            <w:t>四、</w:t>
          </w:r>
          <w:r>
            <w:rPr>
              <w:rFonts w:asciiTheme="minorHAnsi" w:hAnsiTheme="minorHAnsi"/>
              <w:iCs w:val="0"/>
              <w:color w:val="auto"/>
              <w:kern w:val="2"/>
              <w:sz w:val="21"/>
            </w:rPr>
            <w:tab/>
          </w:r>
          <w:r>
            <w:rPr>
              <w:rStyle w:val="20"/>
              <w:rFonts w:hint="eastAsia" w:cs="Times New Roman" w:asciiTheme="majorEastAsia" w:hAnsiTheme="majorEastAsia"/>
              <w:lang w:val="zh-CN"/>
            </w:rPr>
            <w:t>开标与评标</w:t>
          </w:r>
          <w:r>
            <w:tab/>
          </w:r>
          <w:r>
            <w:rPr>
              <w:rFonts w:hint="eastAsia"/>
            </w:rPr>
            <w:t>1</w:t>
          </w:r>
          <w:r>
            <w:rPr>
              <w:rFonts w:hint="eastAsia"/>
            </w:rPr>
            <w:fldChar w:fldCharType="end"/>
          </w:r>
          <w:r>
            <w:rPr>
              <w:rFonts w:hint="eastAsia"/>
            </w:rPr>
            <w:t>3</w:t>
          </w:r>
        </w:p>
        <w:p>
          <w:pPr>
            <w:pStyle w:val="14"/>
            <w:rPr>
              <w:rFonts w:asciiTheme="minorHAnsi" w:hAnsiTheme="minorHAnsi"/>
              <w:iCs w:val="0"/>
              <w:color w:val="auto"/>
              <w:kern w:val="2"/>
              <w:sz w:val="21"/>
            </w:rPr>
          </w:pPr>
          <w:r>
            <w:fldChar w:fldCharType="begin"/>
          </w:r>
          <w:r>
            <w:instrText xml:space="preserve"> HYPERLINK \l "_Toc48230888" </w:instrText>
          </w:r>
          <w:r>
            <w:fldChar w:fldCharType="separate"/>
          </w:r>
          <w:r>
            <w:rPr>
              <w:rStyle w:val="20"/>
              <w:rFonts w:hint="eastAsia" w:cs="Times New Roman" w:asciiTheme="majorEastAsia" w:hAnsiTheme="majorEastAsia"/>
              <w:lang w:val="zh-CN"/>
            </w:rPr>
            <w:t>五、</w:t>
          </w:r>
          <w:r>
            <w:rPr>
              <w:rFonts w:asciiTheme="minorHAnsi" w:hAnsiTheme="minorHAnsi"/>
              <w:iCs w:val="0"/>
              <w:color w:val="auto"/>
              <w:kern w:val="2"/>
              <w:sz w:val="21"/>
            </w:rPr>
            <w:tab/>
          </w:r>
          <w:r>
            <w:rPr>
              <w:rStyle w:val="20"/>
              <w:rFonts w:hint="eastAsia" w:cs="Times New Roman" w:asciiTheme="majorEastAsia" w:hAnsiTheme="majorEastAsia"/>
              <w:lang w:val="zh-CN"/>
            </w:rPr>
            <w:t>投标人信用信息及查询</w:t>
          </w:r>
          <w:r>
            <w:tab/>
          </w:r>
          <w:r>
            <w:rPr>
              <w:rFonts w:hint="eastAsia"/>
            </w:rPr>
            <w:t>1</w:t>
          </w:r>
          <w:r>
            <w:rPr>
              <w:rFonts w:hint="eastAsia"/>
            </w:rPr>
            <w:fldChar w:fldCharType="end"/>
          </w:r>
          <w:r>
            <w:rPr>
              <w:rFonts w:hint="eastAsia"/>
            </w:rPr>
            <w:t>5</w:t>
          </w:r>
        </w:p>
        <w:p>
          <w:pPr>
            <w:pStyle w:val="14"/>
            <w:rPr>
              <w:rFonts w:asciiTheme="minorHAnsi" w:hAnsiTheme="minorHAnsi"/>
              <w:iCs w:val="0"/>
              <w:color w:val="auto"/>
              <w:kern w:val="2"/>
              <w:sz w:val="21"/>
            </w:rPr>
          </w:pPr>
          <w:r>
            <w:fldChar w:fldCharType="begin"/>
          </w:r>
          <w:r>
            <w:instrText xml:space="preserve"> HYPERLINK \l "_Toc48230889" </w:instrText>
          </w:r>
          <w:r>
            <w:fldChar w:fldCharType="separate"/>
          </w:r>
          <w:r>
            <w:rPr>
              <w:rStyle w:val="20"/>
              <w:rFonts w:hint="eastAsia" w:cs="Times New Roman" w:asciiTheme="majorEastAsia" w:hAnsiTheme="majorEastAsia"/>
              <w:lang w:val="zh-CN"/>
            </w:rPr>
            <w:t>六、</w:t>
          </w:r>
          <w:r>
            <w:rPr>
              <w:rFonts w:asciiTheme="minorHAnsi" w:hAnsiTheme="minorHAnsi"/>
              <w:iCs w:val="0"/>
              <w:color w:val="auto"/>
              <w:kern w:val="2"/>
              <w:sz w:val="21"/>
            </w:rPr>
            <w:tab/>
          </w:r>
          <w:r>
            <w:rPr>
              <w:rStyle w:val="20"/>
              <w:rFonts w:hint="eastAsia" w:cs="Times New Roman" w:asciiTheme="majorEastAsia" w:hAnsiTheme="majorEastAsia"/>
              <w:lang w:val="zh-CN"/>
            </w:rPr>
            <w:t>中标与合同</w:t>
          </w:r>
          <w:r>
            <w:tab/>
          </w:r>
          <w:r>
            <w:rPr>
              <w:rFonts w:hint="eastAsia"/>
            </w:rPr>
            <w:t>1</w:t>
          </w:r>
          <w:r>
            <w:rPr>
              <w:rFonts w:hint="eastAsia"/>
            </w:rPr>
            <w:fldChar w:fldCharType="end"/>
          </w:r>
          <w:r>
            <w:rPr>
              <w:rFonts w:hint="eastAsia"/>
            </w:rPr>
            <w:t>5</w:t>
          </w:r>
        </w:p>
        <w:p>
          <w:pPr>
            <w:pStyle w:val="14"/>
            <w:rPr>
              <w:rFonts w:asciiTheme="minorHAnsi" w:hAnsiTheme="minorHAnsi"/>
              <w:iCs w:val="0"/>
              <w:color w:val="auto"/>
              <w:kern w:val="2"/>
              <w:sz w:val="21"/>
            </w:rPr>
          </w:pPr>
          <w:r>
            <w:fldChar w:fldCharType="begin"/>
          </w:r>
          <w:r>
            <w:instrText xml:space="preserve"> HYPERLINK \l "_Toc48230890" </w:instrText>
          </w:r>
          <w:r>
            <w:fldChar w:fldCharType="separate"/>
          </w:r>
          <w:r>
            <w:rPr>
              <w:rStyle w:val="20"/>
              <w:rFonts w:hint="eastAsia" w:cs="Times New Roman" w:asciiTheme="majorEastAsia" w:hAnsiTheme="majorEastAsia"/>
              <w:lang w:val="zh-CN"/>
            </w:rPr>
            <w:t>七、</w:t>
          </w:r>
          <w:r>
            <w:rPr>
              <w:rFonts w:asciiTheme="minorHAnsi" w:hAnsiTheme="minorHAnsi"/>
              <w:iCs w:val="0"/>
              <w:color w:val="auto"/>
              <w:kern w:val="2"/>
              <w:sz w:val="21"/>
            </w:rPr>
            <w:tab/>
          </w:r>
          <w:r>
            <w:rPr>
              <w:rStyle w:val="20"/>
              <w:rFonts w:hint="eastAsia" w:cs="Times New Roman" w:asciiTheme="majorEastAsia" w:hAnsiTheme="majorEastAsia"/>
              <w:lang w:val="zh-CN"/>
            </w:rPr>
            <w:t>采购信息公告</w:t>
          </w:r>
          <w:r>
            <w:tab/>
          </w:r>
          <w:r>
            <w:rPr>
              <w:rFonts w:hint="eastAsia"/>
            </w:rPr>
            <w:t>1</w:t>
          </w:r>
          <w:r>
            <w:rPr>
              <w:rFonts w:hint="eastAsia"/>
            </w:rPr>
            <w:fldChar w:fldCharType="end"/>
          </w:r>
          <w:r>
            <w:rPr>
              <w:rFonts w:hint="eastAsia"/>
            </w:rPr>
            <w:t>6</w:t>
          </w:r>
        </w:p>
        <w:p>
          <w:pPr>
            <w:pStyle w:val="14"/>
            <w:rPr>
              <w:rFonts w:asciiTheme="minorHAnsi" w:hAnsiTheme="minorHAnsi"/>
              <w:iCs w:val="0"/>
              <w:color w:val="auto"/>
              <w:kern w:val="2"/>
              <w:sz w:val="21"/>
            </w:rPr>
          </w:pPr>
          <w:r>
            <w:fldChar w:fldCharType="begin"/>
          </w:r>
          <w:r>
            <w:instrText xml:space="preserve"> HYPERLINK \l "_Toc48230891" </w:instrText>
          </w:r>
          <w:r>
            <w:fldChar w:fldCharType="separate"/>
          </w:r>
          <w:r>
            <w:rPr>
              <w:rStyle w:val="20"/>
              <w:rFonts w:hint="eastAsia" w:cs="Times New Roman" w:asciiTheme="majorEastAsia" w:hAnsiTheme="majorEastAsia"/>
              <w:lang w:val="zh-CN"/>
            </w:rPr>
            <w:t>八、</w:t>
          </w:r>
          <w:r>
            <w:rPr>
              <w:rFonts w:asciiTheme="minorHAnsi" w:hAnsiTheme="minorHAnsi"/>
              <w:iCs w:val="0"/>
              <w:color w:val="auto"/>
              <w:kern w:val="2"/>
              <w:sz w:val="21"/>
            </w:rPr>
            <w:tab/>
          </w:r>
          <w:r>
            <w:rPr>
              <w:rStyle w:val="20"/>
              <w:rFonts w:hint="eastAsia" w:cs="Times New Roman" w:asciiTheme="majorEastAsia" w:hAnsiTheme="majorEastAsia"/>
              <w:lang w:val="zh-CN"/>
            </w:rPr>
            <w:t>质疑及提交</w:t>
          </w:r>
          <w:r>
            <w:tab/>
          </w:r>
          <w:r>
            <w:fldChar w:fldCharType="begin"/>
          </w:r>
          <w:r>
            <w:instrText xml:space="preserve"> PAGEREF _Toc48230891 \h </w:instrText>
          </w:r>
          <w:r>
            <w:fldChar w:fldCharType="separate"/>
          </w:r>
          <w:r>
            <w:t>17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"_Toc48230892" </w:instrText>
          </w:r>
          <w:r>
            <w:fldChar w:fldCharType="separate"/>
          </w:r>
          <w:r>
            <w:rPr>
              <w:rStyle w:val="20"/>
              <w:rFonts w:hint="eastAsia" w:cs="Times New Roman" w:asciiTheme="majorEastAsia" w:hAnsiTheme="majorEastAsia"/>
              <w:lang w:val="zh-CN"/>
            </w:rPr>
            <w:t>九、</w:t>
          </w:r>
          <w:r>
            <w:rPr>
              <w:rFonts w:asciiTheme="minorHAnsi" w:hAnsiTheme="minorHAnsi"/>
              <w:iCs w:val="0"/>
              <w:color w:val="auto"/>
              <w:kern w:val="2"/>
              <w:sz w:val="21"/>
            </w:rPr>
            <w:tab/>
          </w:r>
          <w:r>
            <w:rPr>
              <w:rStyle w:val="20"/>
              <w:rFonts w:hint="eastAsia" w:cs="Times New Roman" w:asciiTheme="majorEastAsia" w:hAnsiTheme="majorEastAsia"/>
              <w:lang w:val="zh-CN"/>
            </w:rPr>
            <w:t>相关条文解读</w:t>
          </w:r>
          <w:r>
            <w:tab/>
          </w:r>
          <w:r>
            <w:fldChar w:fldCharType="begin"/>
          </w:r>
          <w:r>
            <w:instrText xml:space="preserve"> PAGEREF _Toc48230892 \h </w:instrText>
          </w:r>
          <w:r>
            <w:fldChar w:fldCharType="separate"/>
          </w:r>
          <w:r>
            <w:t>17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"_Toc48230893" </w:instrText>
          </w:r>
          <w:r>
            <w:fldChar w:fldCharType="separate"/>
          </w:r>
          <w:r>
            <w:rPr>
              <w:rStyle w:val="20"/>
              <w:rFonts w:hint="eastAsia" w:cs="Times New Roman" w:asciiTheme="majorEastAsia" w:hAnsiTheme="majorEastAsia"/>
              <w:lang w:val="zh-CN"/>
            </w:rPr>
            <w:t>十、</w:t>
          </w:r>
          <w:r>
            <w:rPr>
              <w:rFonts w:asciiTheme="minorHAnsi" w:hAnsiTheme="minorHAnsi"/>
              <w:iCs w:val="0"/>
              <w:color w:val="auto"/>
              <w:kern w:val="2"/>
              <w:sz w:val="21"/>
            </w:rPr>
            <w:tab/>
          </w:r>
          <w:r>
            <w:rPr>
              <w:rStyle w:val="20"/>
              <w:rFonts w:hint="eastAsia" w:cs="Times New Roman" w:asciiTheme="majorEastAsia" w:hAnsiTheme="majorEastAsia"/>
              <w:lang w:val="zh-CN"/>
            </w:rPr>
            <w:t>其他注意事项</w:t>
          </w:r>
          <w:r>
            <w:tab/>
          </w:r>
          <w:r>
            <w:fldChar w:fldCharType="begin"/>
          </w:r>
          <w:r>
            <w:instrText xml:space="preserve"> PAGEREF _Toc48230893 \h </w:instrText>
          </w:r>
          <w:r>
            <w:fldChar w:fldCharType="separate"/>
          </w:r>
          <w:r>
            <w:t>18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"_Toc48230894" </w:instrText>
          </w:r>
          <w:r>
            <w:fldChar w:fldCharType="separate"/>
          </w:r>
          <w:r>
            <w:rPr>
              <w:rStyle w:val="20"/>
              <w:rFonts w:hint="eastAsia" w:cs="Times New Roman" w:asciiTheme="majorEastAsia" w:hAnsiTheme="majorEastAsia"/>
              <w:lang w:val="zh-CN"/>
            </w:rPr>
            <w:t>十一、</w:t>
          </w:r>
          <w:r>
            <w:rPr>
              <w:rFonts w:asciiTheme="minorHAnsi" w:hAnsiTheme="minorHAnsi"/>
              <w:iCs w:val="0"/>
              <w:color w:val="auto"/>
              <w:kern w:val="2"/>
              <w:sz w:val="21"/>
            </w:rPr>
            <w:tab/>
          </w:r>
          <w:r>
            <w:rPr>
              <w:rStyle w:val="20"/>
              <w:rFonts w:hint="eastAsia" w:cs="Times New Roman" w:asciiTheme="majorEastAsia" w:hAnsiTheme="majorEastAsia"/>
              <w:lang w:val="zh-CN"/>
            </w:rPr>
            <w:t>适用法律</w:t>
          </w:r>
          <w:r>
            <w:tab/>
          </w:r>
          <w:r>
            <w:fldChar w:fldCharType="begin"/>
          </w:r>
          <w:r>
            <w:instrText xml:space="preserve"> PAGEREF _Toc48230894 \h </w:instrText>
          </w:r>
          <w:r>
            <w:fldChar w:fldCharType="separate"/>
          </w:r>
          <w:r>
            <w:t>18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"_Toc48230895" </w:instrText>
          </w:r>
          <w:r>
            <w:fldChar w:fldCharType="separate"/>
          </w:r>
          <w:r>
            <w:rPr>
              <w:rStyle w:val="20"/>
              <w:rFonts w:hint="eastAsia" w:cs="Times New Roman" w:asciiTheme="majorEastAsia" w:hAnsiTheme="majorEastAsia"/>
              <w:lang w:val="zh-CN"/>
            </w:rPr>
            <w:t>十二、</w:t>
          </w:r>
          <w:r>
            <w:rPr>
              <w:rFonts w:asciiTheme="minorHAnsi" w:hAnsiTheme="minorHAnsi"/>
              <w:iCs w:val="0"/>
              <w:color w:val="auto"/>
              <w:kern w:val="2"/>
              <w:sz w:val="21"/>
            </w:rPr>
            <w:tab/>
          </w:r>
          <w:r>
            <w:rPr>
              <w:rStyle w:val="20"/>
              <w:rFonts w:hint="eastAsia" w:cs="Times New Roman" w:asciiTheme="majorEastAsia" w:hAnsiTheme="majorEastAsia"/>
              <w:lang w:val="zh-CN"/>
            </w:rPr>
            <w:t>招标文件的解释权</w:t>
          </w:r>
          <w:r>
            <w:tab/>
          </w:r>
          <w:r>
            <w:fldChar w:fldCharType="begin"/>
          </w:r>
          <w:r>
            <w:instrText xml:space="preserve"> PAGEREF _Toc48230895 \h </w:instrText>
          </w:r>
          <w:r>
            <w:fldChar w:fldCharType="separate"/>
          </w:r>
          <w:r>
            <w:t>18</w:t>
          </w:r>
          <w:r>
            <w:fldChar w:fldCharType="end"/>
          </w:r>
          <w:r>
            <w:fldChar w:fldCharType="end"/>
          </w:r>
        </w:p>
        <w:p>
          <w:pPr>
            <w:pStyle w:val="12"/>
            <w:tabs>
              <w:tab w:val="left" w:pos="1260"/>
              <w:tab w:val="right" w:leader="dot" w:pos="9514"/>
            </w:tabs>
            <w:rPr>
              <w:b w:val="0"/>
              <w:iCs w:val="0"/>
              <w:color w:val="auto"/>
              <w:kern w:val="2"/>
              <w:sz w:val="21"/>
            </w:rPr>
          </w:pPr>
          <w:r>
            <w:fldChar w:fldCharType="begin"/>
          </w:r>
          <w:r>
            <w:instrText xml:space="preserve"> HYPERLINK \l "_Toc48230896" </w:instrText>
          </w:r>
          <w:r>
            <w:fldChar w:fldCharType="separate"/>
          </w:r>
          <w:r>
            <w:rPr>
              <w:rStyle w:val="20"/>
              <w:rFonts w:hint="eastAsia" w:ascii="黑体" w:hAnsi="黑体"/>
            </w:rPr>
            <w:t>第三章</w:t>
          </w:r>
          <w:r>
            <w:rPr>
              <w:rFonts w:eastAsiaTheme="minorEastAsia"/>
              <w:b w:val="0"/>
              <w:iCs w:val="0"/>
              <w:color w:val="auto"/>
              <w:kern w:val="2"/>
              <w:sz w:val="21"/>
            </w:rPr>
            <w:tab/>
          </w:r>
          <w:r>
            <w:rPr>
              <w:rStyle w:val="20"/>
              <w:rFonts w:hint="eastAsia" w:ascii="黑体" w:hAnsi="黑体"/>
            </w:rPr>
            <w:t>项目技术、服务及商务要求</w:t>
          </w:r>
          <w:r>
            <w:tab/>
          </w:r>
          <w:r>
            <w:rPr>
              <w:rFonts w:hint="eastAsia"/>
            </w:rPr>
            <w:t>1</w:t>
          </w:r>
          <w:r>
            <w:rPr>
              <w:rFonts w:hint="eastAsia"/>
            </w:rPr>
            <w:fldChar w:fldCharType="end"/>
          </w:r>
          <w:r>
            <w:rPr>
              <w:rFonts w:hint="eastAsia"/>
            </w:rPr>
            <w:t>9</w:t>
          </w:r>
        </w:p>
        <w:p>
          <w:pPr>
            <w:pStyle w:val="14"/>
            <w:rPr>
              <w:rFonts w:asciiTheme="minorHAnsi" w:hAnsiTheme="minorHAnsi"/>
              <w:iCs w:val="0"/>
              <w:color w:val="auto"/>
              <w:kern w:val="2"/>
              <w:sz w:val="21"/>
            </w:rPr>
          </w:pPr>
          <w:r>
            <w:fldChar w:fldCharType="begin"/>
          </w:r>
          <w:r>
            <w:instrText xml:space="preserve"> HYPERLINK \l "_Toc48230897" </w:instrText>
          </w:r>
          <w:r>
            <w:fldChar w:fldCharType="separate"/>
          </w:r>
          <w:r>
            <w:rPr>
              <w:rStyle w:val="20"/>
              <w:rFonts w:hint="eastAsia" w:cs="Times New Roman" w:asciiTheme="majorEastAsia" w:hAnsiTheme="majorEastAsia"/>
              <w:lang w:val="zh-CN"/>
            </w:rPr>
            <w:t>一、</w:t>
          </w:r>
          <w:r>
            <w:rPr>
              <w:rFonts w:asciiTheme="minorHAnsi" w:hAnsiTheme="minorHAnsi"/>
              <w:iCs w:val="0"/>
              <w:color w:val="auto"/>
              <w:kern w:val="2"/>
              <w:sz w:val="21"/>
            </w:rPr>
            <w:tab/>
          </w:r>
          <w:r>
            <w:rPr>
              <w:rStyle w:val="20"/>
              <w:rFonts w:hint="eastAsia" w:cs="Times New Roman" w:asciiTheme="majorEastAsia" w:hAnsiTheme="majorEastAsia"/>
              <w:lang w:val="zh-CN"/>
            </w:rPr>
            <w:t>采购清单</w:t>
          </w:r>
          <w:r>
            <w:tab/>
          </w:r>
          <w:r>
            <w:rPr>
              <w:rFonts w:hint="eastAsia"/>
            </w:rPr>
            <w:t>1</w:t>
          </w:r>
          <w:r>
            <w:rPr>
              <w:rFonts w:hint="eastAsia"/>
            </w:rPr>
            <w:fldChar w:fldCharType="end"/>
          </w:r>
          <w:r>
            <w:rPr>
              <w:rFonts w:hint="eastAsia"/>
            </w:rPr>
            <w:t>9</w:t>
          </w:r>
        </w:p>
        <w:p>
          <w:pPr>
            <w:pStyle w:val="14"/>
            <w:rPr>
              <w:rFonts w:asciiTheme="minorHAnsi" w:hAnsiTheme="minorHAnsi"/>
              <w:iCs w:val="0"/>
              <w:color w:val="auto"/>
              <w:kern w:val="2"/>
              <w:sz w:val="21"/>
            </w:rPr>
          </w:pPr>
          <w:r>
            <w:fldChar w:fldCharType="begin"/>
          </w:r>
          <w:r>
            <w:instrText xml:space="preserve"> HYPERLINK \l "_Toc48230898" </w:instrText>
          </w:r>
          <w:r>
            <w:fldChar w:fldCharType="separate"/>
          </w:r>
          <w:r>
            <w:rPr>
              <w:rStyle w:val="20"/>
              <w:rFonts w:hint="eastAsia" w:cs="Times New Roman" w:asciiTheme="majorEastAsia" w:hAnsiTheme="majorEastAsia"/>
              <w:lang w:val="zh-CN"/>
            </w:rPr>
            <w:t>二、</w:t>
          </w:r>
          <w:r>
            <w:rPr>
              <w:rFonts w:asciiTheme="minorHAnsi" w:hAnsiTheme="minorHAnsi"/>
              <w:iCs w:val="0"/>
              <w:color w:val="auto"/>
              <w:kern w:val="2"/>
              <w:sz w:val="21"/>
            </w:rPr>
            <w:tab/>
          </w:r>
          <w:r>
            <w:rPr>
              <w:rStyle w:val="20"/>
              <w:rFonts w:hint="eastAsia" w:cs="Times New Roman" w:asciiTheme="majorEastAsia" w:hAnsiTheme="majorEastAsia"/>
            </w:rPr>
            <w:t>项目概况</w:t>
          </w:r>
          <w:r>
            <w:tab/>
          </w:r>
          <w:r>
            <w:rPr>
              <w:rFonts w:hint="eastAsia"/>
            </w:rPr>
            <w:t>1</w:t>
          </w:r>
          <w:r>
            <w:rPr>
              <w:rFonts w:hint="eastAsia"/>
            </w:rPr>
            <w:fldChar w:fldCharType="end"/>
          </w:r>
          <w:r>
            <w:rPr>
              <w:rFonts w:hint="eastAsia"/>
            </w:rPr>
            <w:t>9</w:t>
          </w:r>
        </w:p>
        <w:p>
          <w:pPr>
            <w:pStyle w:val="14"/>
            <w:rPr>
              <w:rFonts w:asciiTheme="minorHAnsi" w:hAnsiTheme="minorHAnsi"/>
              <w:iCs w:val="0"/>
              <w:color w:val="auto"/>
              <w:kern w:val="2"/>
              <w:sz w:val="21"/>
            </w:rPr>
          </w:pPr>
          <w:r>
            <w:fldChar w:fldCharType="begin"/>
          </w:r>
          <w:r>
            <w:instrText xml:space="preserve"> HYPERLINK \l "_Toc48230899" </w:instrText>
          </w:r>
          <w:r>
            <w:fldChar w:fldCharType="separate"/>
          </w:r>
          <w:r>
            <w:rPr>
              <w:rStyle w:val="20"/>
              <w:rFonts w:hint="eastAsia" w:cs="Times New Roman" w:asciiTheme="majorEastAsia" w:hAnsiTheme="majorEastAsia"/>
              <w:lang w:val="zh-CN"/>
            </w:rPr>
            <w:t>三、</w:t>
          </w:r>
          <w:r>
            <w:rPr>
              <w:rFonts w:asciiTheme="minorHAnsi" w:hAnsiTheme="minorHAnsi"/>
              <w:iCs w:val="0"/>
              <w:color w:val="auto"/>
              <w:kern w:val="2"/>
              <w:sz w:val="21"/>
            </w:rPr>
            <w:tab/>
          </w:r>
          <w:r>
            <w:rPr>
              <w:rStyle w:val="20"/>
              <w:rFonts w:hint="eastAsia" w:cs="Times New Roman" w:asciiTheme="majorEastAsia" w:hAnsiTheme="majorEastAsia"/>
              <w:lang w:val="zh-CN"/>
            </w:rPr>
            <w:t>国家相关行政主管部门颁布的强制标准、规范</w:t>
          </w:r>
          <w:r>
            <w:tab/>
          </w:r>
          <w:r>
            <w:rPr>
              <w:rFonts w:hint="eastAsia"/>
            </w:rPr>
            <w:t>1</w:t>
          </w:r>
          <w:r>
            <w:rPr>
              <w:rFonts w:hint="eastAsia"/>
            </w:rPr>
            <w:fldChar w:fldCharType="end"/>
          </w:r>
          <w:r>
            <w:rPr>
              <w:rFonts w:hint="eastAsia"/>
            </w:rPr>
            <w:t>9</w:t>
          </w:r>
        </w:p>
        <w:p>
          <w:pPr>
            <w:pStyle w:val="14"/>
            <w:rPr>
              <w:rFonts w:asciiTheme="minorHAnsi" w:hAnsiTheme="minorHAnsi"/>
              <w:iCs w:val="0"/>
              <w:color w:val="auto"/>
              <w:kern w:val="2"/>
              <w:sz w:val="21"/>
            </w:rPr>
          </w:pPr>
          <w:r>
            <w:fldChar w:fldCharType="begin"/>
          </w:r>
          <w:r>
            <w:instrText xml:space="preserve"> HYPERLINK \l "_Toc48230900" </w:instrText>
          </w:r>
          <w:r>
            <w:fldChar w:fldCharType="separate"/>
          </w:r>
          <w:r>
            <w:rPr>
              <w:rStyle w:val="20"/>
              <w:rFonts w:hint="eastAsia" w:cs="Times New Roman" w:asciiTheme="majorEastAsia" w:hAnsiTheme="majorEastAsia"/>
              <w:lang w:val="zh-CN"/>
            </w:rPr>
            <w:t>四、</w:t>
          </w:r>
          <w:r>
            <w:rPr>
              <w:rFonts w:asciiTheme="minorHAnsi" w:hAnsiTheme="minorHAnsi"/>
              <w:iCs w:val="0"/>
              <w:color w:val="auto"/>
              <w:kern w:val="2"/>
              <w:sz w:val="21"/>
            </w:rPr>
            <w:tab/>
          </w:r>
          <w:r>
            <w:rPr>
              <w:rStyle w:val="20"/>
              <w:rFonts w:hint="eastAsia" w:cs="Times New Roman" w:asciiTheme="majorEastAsia" w:hAnsiTheme="majorEastAsia"/>
              <w:lang w:val="zh-CN"/>
            </w:rPr>
            <w:t>服务要求</w:t>
          </w:r>
          <w:r>
            <w:tab/>
          </w:r>
          <w:r>
            <w:rPr>
              <w:rFonts w:hint="eastAsia"/>
            </w:rPr>
            <w:t>1</w:t>
          </w:r>
          <w:r>
            <w:rPr>
              <w:rFonts w:hint="eastAsia"/>
            </w:rPr>
            <w:fldChar w:fldCharType="end"/>
          </w:r>
          <w:r>
            <w:rPr>
              <w:rFonts w:hint="eastAsia"/>
            </w:rPr>
            <w:t>9</w:t>
          </w:r>
        </w:p>
        <w:p>
          <w:pPr>
            <w:pStyle w:val="14"/>
            <w:rPr>
              <w:rFonts w:asciiTheme="minorHAnsi" w:hAnsiTheme="minorHAnsi"/>
              <w:iCs w:val="0"/>
              <w:color w:val="auto"/>
              <w:kern w:val="2"/>
              <w:sz w:val="21"/>
            </w:rPr>
          </w:pPr>
          <w:r>
            <w:fldChar w:fldCharType="begin"/>
          </w:r>
          <w:r>
            <w:instrText xml:space="preserve"> HYPERLINK \l "_Toc48230901" </w:instrText>
          </w:r>
          <w:r>
            <w:fldChar w:fldCharType="separate"/>
          </w:r>
          <w:r>
            <w:rPr>
              <w:rStyle w:val="20"/>
              <w:rFonts w:hint="eastAsia" w:cs="Times New Roman" w:asciiTheme="majorEastAsia" w:hAnsiTheme="majorEastAsia"/>
              <w:lang w:val="zh-CN"/>
            </w:rPr>
            <w:t>五、</w:t>
          </w:r>
          <w:r>
            <w:rPr>
              <w:rFonts w:asciiTheme="minorHAnsi" w:hAnsiTheme="minorHAnsi"/>
              <w:iCs w:val="0"/>
              <w:color w:val="auto"/>
              <w:kern w:val="2"/>
              <w:sz w:val="21"/>
            </w:rPr>
            <w:tab/>
          </w:r>
          <w:r>
            <w:rPr>
              <w:rStyle w:val="20"/>
              <w:rFonts w:hint="eastAsia" w:cs="Times New Roman" w:asciiTheme="majorEastAsia" w:hAnsiTheme="majorEastAsia"/>
              <w:lang w:val="zh-CN"/>
            </w:rPr>
            <w:t>商务要求</w:t>
          </w:r>
          <w:r>
            <w:tab/>
          </w:r>
          <w:r>
            <w:rPr>
              <w:rFonts w:hint="eastAsia"/>
            </w:rPr>
            <w:t>2</w:t>
          </w:r>
          <w:r>
            <w:rPr>
              <w:rFonts w:hint="eastAsia"/>
            </w:rPr>
            <w:fldChar w:fldCharType="end"/>
          </w:r>
          <w:r>
            <w:rPr>
              <w:rFonts w:hint="eastAsia"/>
            </w:rPr>
            <w:t>1</w:t>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"_Toc48230902" </w:instrText>
          </w:r>
          <w:r>
            <w:fldChar w:fldCharType="separate"/>
          </w:r>
          <w:r>
            <w:rPr>
              <w:rStyle w:val="20"/>
              <w:rFonts w:hint="eastAsia" w:ascii="黑体" w:hAnsi="黑体"/>
            </w:rPr>
            <w:t>第四章</w:t>
          </w:r>
          <w:r>
            <w:rPr>
              <w:rFonts w:eastAsiaTheme="minorEastAsia"/>
              <w:b w:val="0"/>
              <w:iCs w:val="0"/>
              <w:color w:val="auto"/>
              <w:kern w:val="2"/>
              <w:sz w:val="21"/>
            </w:rPr>
            <w:tab/>
          </w:r>
          <w:r>
            <w:rPr>
              <w:rStyle w:val="20"/>
              <w:rFonts w:hint="eastAsia" w:ascii="黑体" w:hAnsi="黑体"/>
            </w:rPr>
            <w:t>资格审查方法及标准</w:t>
          </w:r>
          <w:r>
            <w:tab/>
          </w:r>
          <w:r>
            <w:fldChar w:fldCharType="begin"/>
          </w:r>
          <w:r>
            <w:instrText xml:space="preserve"> PAGEREF _Toc48230902 \h </w:instrText>
          </w:r>
          <w:r>
            <w:fldChar w:fldCharType="separate"/>
          </w:r>
          <w:r>
            <w:t>22</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"_Toc48230903" </w:instrText>
          </w:r>
          <w:r>
            <w:fldChar w:fldCharType="separate"/>
          </w:r>
          <w:r>
            <w:rPr>
              <w:rStyle w:val="20"/>
              <w:rFonts w:hint="eastAsia" w:cs="Times New Roman" w:asciiTheme="majorEastAsia" w:hAnsiTheme="majorEastAsia"/>
              <w:lang w:val="zh-CN"/>
            </w:rPr>
            <w:t>一、</w:t>
          </w:r>
          <w:r>
            <w:rPr>
              <w:rFonts w:asciiTheme="minorHAnsi" w:hAnsiTheme="minorHAnsi"/>
              <w:iCs w:val="0"/>
              <w:color w:val="auto"/>
              <w:kern w:val="2"/>
              <w:sz w:val="21"/>
            </w:rPr>
            <w:tab/>
          </w:r>
          <w:r>
            <w:rPr>
              <w:rStyle w:val="20"/>
              <w:rFonts w:hint="eastAsia" w:cs="Times New Roman" w:asciiTheme="majorEastAsia" w:hAnsiTheme="majorEastAsia"/>
              <w:lang w:val="zh-CN"/>
            </w:rPr>
            <w:t>资格审查方法</w:t>
          </w:r>
          <w:r>
            <w:tab/>
          </w:r>
          <w:r>
            <w:rPr>
              <w:rFonts w:hint="eastAsia"/>
            </w:rPr>
            <w:t>2</w:t>
          </w:r>
          <w:r>
            <w:rPr>
              <w:rFonts w:hint="eastAsia"/>
            </w:rPr>
            <w:fldChar w:fldCharType="end"/>
          </w:r>
          <w:r>
            <w:rPr>
              <w:rFonts w:hint="eastAsia"/>
            </w:rPr>
            <w:t>2</w:t>
          </w:r>
        </w:p>
        <w:p>
          <w:pPr>
            <w:pStyle w:val="14"/>
            <w:rPr>
              <w:rFonts w:asciiTheme="minorHAnsi" w:hAnsiTheme="minorHAnsi"/>
              <w:iCs w:val="0"/>
              <w:color w:val="auto"/>
              <w:kern w:val="2"/>
              <w:sz w:val="21"/>
            </w:rPr>
          </w:pPr>
          <w:r>
            <w:fldChar w:fldCharType="begin"/>
          </w:r>
          <w:r>
            <w:instrText xml:space="preserve"> HYPERLINK \l "_Toc48230904" </w:instrText>
          </w:r>
          <w:r>
            <w:fldChar w:fldCharType="separate"/>
          </w:r>
          <w:r>
            <w:rPr>
              <w:rStyle w:val="20"/>
              <w:rFonts w:hint="eastAsia" w:cs="Times New Roman" w:asciiTheme="majorEastAsia" w:hAnsiTheme="majorEastAsia"/>
              <w:lang w:val="zh-CN"/>
            </w:rPr>
            <w:t>二、</w:t>
          </w:r>
          <w:r>
            <w:rPr>
              <w:rFonts w:asciiTheme="minorHAnsi" w:hAnsiTheme="minorHAnsi"/>
              <w:iCs w:val="0"/>
              <w:color w:val="auto"/>
              <w:kern w:val="2"/>
              <w:sz w:val="21"/>
            </w:rPr>
            <w:tab/>
          </w:r>
          <w:r>
            <w:rPr>
              <w:rStyle w:val="20"/>
              <w:rFonts w:hint="eastAsia" w:cs="Times New Roman" w:asciiTheme="majorEastAsia" w:hAnsiTheme="majorEastAsia"/>
              <w:lang w:val="zh-CN"/>
            </w:rPr>
            <w:t>资格审查标准</w:t>
          </w:r>
          <w:r>
            <w:tab/>
          </w:r>
          <w:r>
            <w:rPr>
              <w:rFonts w:hint="eastAsia"/>
            </w:rPr>
            <w:t>2</w:t>
          </w:r>
          <w:r>
            <w:rPr>
              <w:rFonts w:hint="eastAsia"/>
            </w:rPr>
            <w:fldChar w:fldCharType="end"/>
          </w:r>
          <w:r>
            <w:rPr>
              <w:rFonts w:hint="eastAsia"/>
            </w:rPr>
            <w:t>2</w:t>
          </w:r>
        </w:p>
        <w:p>
          <w:pPr>
            <w:pStyle w:val="12"/>
            <w:tabs>
              <w:tab w:val="left" w:pos="1260"/>
              <w:tab w:val="right" w:leader="dot" w:pos="9514"/>
            </w:tabs>
            <w:rPr>
              <w:b w:val="0"/>
              <w:iCs w:val="0"/>
              <w:color w:val="auto"/>
              <w:kern w:val="2"/>
              <w:sz w:val="21"/>
            </w:rPr>
          </w:pPr>
          <w:r>
            <w:fldChar w:fldCharType="begin"/>
          </w:r>
          <w:r>
            <w:instrText xml:space="preserve"> HYPERLINK \l "_Toc48230905" </w:instrText>
          </w:r>
          <w:r>
            <w:fldChar w:fldCharType="separate"/>
          </w:r>
          <w:r>
            <w:rPr>
              <w:rStyle w:val="20"/>
              <w:rFonts w:hint="eastAsia" w:ascii="黑体" w:hAnsi="黑体"/>
            </w:rPr>
            <w:t>第五章</w:t>
          </w:r>
          <w:r>
            <w:rPr>
              <w:rFonts w:eastAsiaTheme="minorEastAsia"/>
              <w:b w:val="0"/>
              <w:iCs w:val="0"/>
              <w:color w:val="auto"/>
              <w:kern w:val="2"/>
              <w:sz w:val="21"/>
            </w:rPr>
            <w:tab/>
          </w:r>
          <w:r>
            <w:rPr>
              <w:rStyle w:val="20"/>
              <w:rFonts w:hint="eastAsia" w:ascii="黑体" w:hAnsi="黑体"/>
            </w:rPr>
            <w:t>评标方法、程序及标准</w:t>
          </w:r>
          <w:r>
            <w:tab/>
          </w:r>
          <w:r>
            <w:rPr>
              <w:rFonts w:hint="eastAsia"/>
            </w:rPr>
            <w:t>2</w:t>
          </w:r>
          <w:r>
            <w:rPr>
              <w:rFonts w:hint="eastAsia"/>
            </w:rPr>
            <w:fldChar w:fldCharType="end"/>
          </w:r>
          <w:r>
            <w:rPr>
              <w:rFonts w:hint="eastAsia"/>
            </w:rPr>
            <w:t>4</w:t>
          </w:r>
        </w:p>
        <w:p>
          <w:pPr>
            <w:pStyle w:val="14"/>
            <w:rPr>
              <w:rFonts w:asciiTheme="minorHAnsi" w:hAnsiTheme="minorHAnsi"/>
              <w:iCs w:val="0"/>
              <w:color w:val="auto"/>
              <w:kern w:val="2"/>
              <w:sz w:val="21"/>
            </w:rPr>
          </w:pPr>
          <w:r>
            <w:fldChar w:fldCharType="begin"/>
          </w:r>
          <w:r>
            <w:instrText xml:space="preserve"> HYPERLINK \l "_Toc48230906" </w:instrText>
          </w:r>
          <w:r>
            <w:fldChar w:fldCharType="separate"/>
          </w:r>
          <w:r>
            <w:rPr>
              <w:rStyle w:val="20"/>
              <w:rFonts w:hint="eastAsia" w:cs="Times New Roman" w:asciiTheme="majorEastAsia" w:hAnsiTheme="majorEastAsia"/>
              <w:lang w:val="zh-CN"/>
            </w:rPr>
            <w:t>一、</w:t>
          </w:r>
          <w:r>
            <w:rPr>
              <w:rFonts w:asciiTheme="minorHAnsi" w:hAnsiTheme="minorHAnsi"/>
              <w:iCs w:val="0"/>
              <w:color w:val="auto"/>
              <w:kern w:val="2"/>
              <w:sz w:val="21"/>
            </w:rPr>
            <w:tab/>
          </w:r>
          <w:r>
            <w:rPr>
              <w:rStyle w:val="20"/>
              <w:rFonts w:hint="eastAsia" w:cs="Times New Roman" w:asciiTheme="majorEastAsia" w:hAnsiTheme="majorEastAsia"/>
              <w:lang w:val="zh-CN"/>
            </w:rPr>
            <w:t>评标方法</w:t>
          </w:r>
          <w:r>
            <w:tab/>
          </w:r>
          <w:r>
            <w:rPr>
              <w:rFonts w:hint="eastAsia"/>
            </w:rPr>
            <w:t>2</w:t>
          </w:r>
          <w:r>
            <w:rPr>
              <w:rFonts w:hint="eastAsia"/>
            </w:rPr>
            <w:fldChar w:fldCharType="end"/>
          </w:r>
          <w:r>
            <w:rPr>
              <w:rFonts w:hint="eastAsia"/>
            </w:rPr>
            <w:t>4</w:t>
          </w:r>
        </w:p>
        <w:p>
          <w:pPr>
            <w:pStyle w:val="14"/>
            <w:rPr>
              <w:rFonts w:asciiTheme="minorHAnsi" w:hAnsiTheme="minorHAnsi"/>
              <w:iCs w:val="0"/>
              <w:color w:val="auto"/>
              <w:kern w:val="2"/>
              <w:sz w:val="21"/>
            </w:rPr>
          </w:pPr>
          <w:r>
            <w:fldChar w:fldCharType="begin"/>
          </w:r>
          <w:r>
            <w:instrText xml:space="preserve"> HYPERLINK \l "_Toc48230907" </w:instrText>
          </w:r>
          <w:r>
            <w:fldChar w:fldCharType="separate"/>
          </w:r>
          <w:r>
            <w:rPr>
              <w:rStyle w:val="20"/>
              <w:rFonts w:hint="eastAsia" w:cs="Times New Roman" w:asciiTheme="majorEastAsia" w:hAnsiTheme="majorEastAsia"/>
              <w:lang w:val="zh-CN"/>
            </w:rPr>
            <w:t>二、</w:t>
          </w:r>
          <w:r>
            <w:rPr>
              <w:rFonts w:asciiTheme="minorHAnsi" w:hAnsiTheme="minorHAnsi"/>
              <w:iCs w:val="0"/>
              <w:color w:val="auto"/>
              <w:kern w:val="2"/>
              <w:sz w:val="21"/>
            </w:rPr>
            <w:tab/>
          </w:r>
          <w:r>
            <w:rPr>
              <w:rStyle w:val="20"/>
              <w:rFonts w:hint="eastAsia" w:cs="Times New Roman" w:asciiTheme="majorEastAsia" w:hAnsiTheme="majorEastAsia"/>
              <w:lang w:val="zh-CN"/>
            </w:rPr>
            <w:t>评标程序及标准</w:t>
          </w:r>
          <w:r>
            <w:tab/>
          </w:r>
          <w:r>
            <w:rPr>
              <w:rFonts w:hint="eastAsia"/>
            </w:rPr>
            <w:t>2</w:t>
          </w:r>
          <w:r>
            <w:rPr>
              <w:rFonts w:hint="eastAsia"/>
            </w:rPr>
            <w:fldChar w:fldCharType="end"/>
          </w:r>
          <w:r>
            <w:rPr>
              <w:rFonts w:hint="eastAsia"/>
            </w:rPr>
            <w:t>4</w:t>
          </w:r>
        </w:p>
        <w:p>
          <w:pPr>
            <w:pStyle w:val="14"/>
            <w:rPr>
              <w:rFonts w:asciiTheme="minorHAnsi" w:hAnsiTheme="minorHAnsi"/>
              <w:iCs w:val="0"/>
              <w:color w:val="auto"/>
              <w:kern w:val="2"/>
              <w:sz w:val="21"/>
            </w:rPr>
          </w:pPr>
          <w:r>
            <w:fldChar w:fldCharType="begin"/>
          </w:r>
          <w:r>
            <w:instrText xml:space="preserve"> HYPERLINK \l "_Toc48230908" </w:instrText>
          </w:r>
          <w:r>
            <w:fldChar w:fldCharType="separate"/>
          </w:r>
          <w:r>
            <w:rPr>
              <w:rStyle w:val="20"/>
              <w:rFonts w:hint="eastAsia" w:cs="Times New Roman" w:asciiTheme="majorEastAsia" w:hAnsiTheme="majorEastAsia"/>
              <w:lang w:val="zh-CN"/>
            </w:rPr>
            <w:t>三、</w:t>
          </w:r>
          <w:r>
            <w:rPr>
              <w:rFonts w:asciiTheme="minorHAnsi" w:hAnsiTheme="minorHAnsi"/>
              <w:iCs w:val="0"/>
              <w:color w:val="auto"/>
              <w:kern w:val="2"/>
              <w:sz w:val="21"/>
            </w:rPr>
            <w:tab/>
          </w:r>
          <w:r>
            <w:rPr>
              <w:rStyle w:val="20"/>
              <w:rFonts w:hint="eastAsia" w:cs="Times New Roman" w:asciiTheme="majorEastAsia" w:hAnsiTheme="majorEastAsia"/>
              <w:lang w:val="zh-CN"/>
            </w:rPr>
            <w:t>评审因素及评分标准</w:t>
          </w:r>
          <w:r>
            <w:tab/>
          </w:r>
          <w:r>
            <w:rPr>
              <w:rFonts w:hint="eastAsia"/>
            </w:rPr>
            <w:t>2</w:t>
          </w:r>
          <w:r>
            <w:rPr>
              <w:rFonts w:hint="eastAsia"/>
            </w:rPr>
            <w:fldChar w:fldCharType="end"/>
          </w:r>
          <w:r>
            <w:rPr>
              <w:rFonts w:hint="eastAsia"/>
            </w:rPr>
            <w:t>9</w:t>
          </w:r>
        </w:p>
        <w:p>
          <w:pPr>
            <w:pStyle w:val="12"/>
            <w:tabs>
              <w:tab w:val="left" w:pos="1260"/>
              <w:tab w:val="right" w:leader="dot" w:pos="9514"/>
            </w:tabs>
            <w:rPr>
              <w:b w:val="0"/>
              <w:iCs w:val="0"/>
              <w:color w:val="auto"/>
              <w:kern w:val="2"/>
              <w:sz w:val="21"/>
            </w:rPr>
          </w:pPr>
          <w:r>
            <w:fldChar w:fldCharType="begin"/>
          </w:r>
          <w:r>
            <w:instrText xml:space="preserve"> HYPERLINK \l "_Toc48230909" </w:instrText>
          </w:r>
          <w:r>
            <w:fldChar w:fldCharType="separate"/>
          </w:r>
          <w:r>
            <w:rPr>
              <w:rStyle w:val="20"/>
              <w:rFonts w:hint="eastAsia" w:ascii="黑体" w:hAnsi="黑体"/>
            </w:rPr>
            <w:t>第六章</w:t>
          </w:r>
          <w:r>
            <w:rPr>
              <w:rFonts w:eastAsiaTheme="minorEastAsia"/>
              <w:b w:val="0"/>
              <w:iCs w:val="0"/>
              <w:color w:val="auto"/>
              <w:kern w:val="2"/>
              <w:sz w:val="21"/>
            </w:rPr>
            <w:tab/>
          </w:r>
          <w:r>
            <w:rPr>
              <w:rStyle w:val="20"/>
              <w:rFonts w:hint="eastAsia" w:ascii="黑体" w:hAnsi="黑体"/>
            </w:rPr>
            <w:t>合同书格式（参考）</w:t>
          </w:r>
          <w:r>
            <w:tab/>
          </w:r>
          <w:r>
            <w:rPr>
              <w:rFonts w:hint="eastAsia"/>
            </w:rPr>
            <w:t>3</w:t>
          </w:r>
          <w:r>
            <w:rPr>
              <w:rFonts w:hint="eastAsia"/>
            </w:rPr>
            <w:fldChar w:fldCharType="end"/>
          </w:r>
          <w:r>
            <w:rPr>
              <w:rFonts w:hint="eastAsia"/>
            </w:rPr>
            <w:t>0</w:t>
          </w:r>
        </w:p>
        <w:p>
          <w:pPr>
            <w:pStyle w:val="12"/>
            <w:tabs>
              <w:tab w:val="left" w:pos="1260"/>
              <w:tab w:val="right" w:leader="dot" w:pos="9514"/>
            </w:tabs>
            <w:rPr>
              <w:rFonts w:eastAsiaTheme="minorEastAsia"/>
              <w:b w:val="0"/>
              <w:iCs w:val="0"/>
              <w:color w:val="auto"/>
              <w:kern w:val="2"/>
              <w:sz w:val="21"/>
            </w:rPr>
          </w:pPr>
          <w:r>
            <w:fldChar w:fldCharType="begin"/>
          </w:r>
          <w:r>
            <w:instrText xml:space="preserve"> HYPERLINK \l "_Toc48230910" </w:instrText>
          </w:r>
          <w:r>
            <w:fldChar w:fldCharType="separate"/>
          </w:r>
          <w:r>
            <w:rPr>
              <w:rStyle w:val="20"/>
              <w:rFonts w:hint="eastAsia" w:ascii="黑体" w:hAnsi="黑体"/>
            </w:rPr>
            <w:t>第七章</w:t>
          </w:r>
          <w:r>
            <w:rPr>
              <w:rFonts w:eastAsiaTheme="minorEastAsia"/>
              <w:b w:val="0"/>
              <w:iCs w:val="0"/>
              <w:color w:val="auto"/>
              <w:kern w:val="2"/>
              <w:sz w:val="21"/>
            </w:rPr>
            <w:tab/>
          </w:r>
          <w:r>
            <w:rPr>
              <w:rStyle w:val="20"/>
              <w:rFonts w:hint="eastAsia" w:ascii="黑体" w:hAnsi="黑体"/>
            </w:rPr>
            <w:t>投标文件格式（参考）</w:t>
          </w:r>
          <w:r>
            <w:tab/>
          </w:r>
          <w:r>
            <w:fldChar w:fldCharType="begin"/>
          </w:r>
          <w:r>
            <w:instrText xml:space="preserve"> PAGEREF _Toc48230910 \h </w:instrText>
          </w:r>
          <w:r>
            <w:fldChar w:fldCharType="separate"/>
          </w:r>
          <w:r>
            <w:t>32</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"_Toc48230911" </w:instrText>
          </w:r>
          <w:r>
            <w:fldChar w:fldCharType="separate"/>
          </w:r>
          <w:r>
            <w:rPr>
              <w:rStyle w:val="20"/>
              <w:rFonts w:hint="eastAsia" w:cs="Times New Roman" w:asciiTheme="majorEastAsia" w:hAnsiTheme="majorEastAsia"/>
              <w:lang w:val="zh-CN"/>
            </w:rPr>
            <w:t>第一部分</w:t>
          </w:r>
          <w:r>
            <w:rPr>
              <w:rStyle w:val="20"/>
              <w:rFonts w:cs="Times New Roman" w:asciiTheme="majorEastAsia" w:hAnsiTheme="majorEastAsia"/>
              <w:lang w:val="zh-CN"/>
            </w:rPr>
            <w:t xml:space="preserve"> </w:t>
          </w:r>
          <w:r>
            <w:rPr>
              <w:rStyle w:val="20"/>
              <w:rFonts w:hint="eastAsia" w:cs="Times New Roman" w:asciiTheme="majorEastAsia" w:hAnsiTheme="majorEastAsia"/>
              <w:lang w:val="zh-CN"/>
            </w:rPr>
            <w:t>资格证明文件</w:t>
          </w:r>
          <w:r>
            <w:tab/>
          </w:r>
          <w:r>
            <w:rPr>
              <w:rFonts w:hint="eastAsia"/>
            </w:rPr>
            <w:t>3</w:t>
          </w:r>
          <w:r>
            <w:rPr>
              <w:rFonts w:hint="eastAsia"/>
            </w:rPr>
            <w:fldChar w:fldCharType="end"/>
          </w:r>
          <w:r>
            <w:rPr>
              <w:rFonts w:hint="eastAsia"/>
            </w:rPr>
            <w:t>2</w:t>
          </w:r>
        </w:p>
        <w:p>
          <w:pPr>
            <w:pStyle w:val="14"/>
            <w:rPr>
              <w:rFonts w:asciiTheme="minorHAnsi" w:hAnsiTheme="minorHAnsi"/>
              <w:iCs w:val="0"/>
              <w:color w:val="auto"/>
              <w:kern w:val="2"/>
              <w:sz w:val="21"/>
            </w:rPr>
          </w:pPr>
          <w:r>
            <w:fldChar w:fldCharType="begin"/>
          </w:r>
          <w:r>
            <w:instrText xml:space="preserve"> HYPERLINK \l "_Toc48230912" </w:instrText>
          </w:r>
          <w:r>
            <w:fldChar w:fldCharType="separate"/>
          </w:r>
          <w:r>
            <w:rPr>
              <w:rStyle w:val="20"/>
              <w:rFonts w:hint="eastAsia" w:cs="Times New Roman" w:asciiTheme="majorEastAsia" w:hAnsiTheme="majorEastAsia"/>
              <w:lang w:val="zh-CN"/>
            </w:rPr>
            <w:t>第二部分</w:t>
          </w:r>
          <w:r>
            <w:rPr>
              <w:rStyle w:val="20"/>
              <w:rFonts w:cs="Times New Roman" w:asciiTheme="majorEastAsia" w:hAnsiTheme="majorEastAsia"/>
              <w:lang w:val="zh-CN"/>
            </w:rPr>
            <w:t xml:space="preserve"> </w:t>
          </w:r>
          <w:r>
            <w:rPr>
              <w:rStyle w:val="20"/>
              <w:rFonts w:hint="eastAsia" w:cs="Times New Roman" w:asciiTheme="majorEastAsia" w:hAnsiTheme="majorEastAsia"/>
              <w:lang w:val="zh-CN"/>
            </w:rPr>
            <w:t>商务文件</w:t>
          </w:r>
          <w:r>
            <w:tab/>
          </w:r>
          <w:r>
            <w:rPr>
              <w:rFonts w:hint="eastAsia"/>
            </w:rPr>
            <w:t>3</w:t>
          </w:r>
          <w:r>
            <w:rPr>
              <w:rFonts w:hint="eastAsia"/>
            </w:rPr>
            <w:fldChar w:fldCharType="end"/>
          </w:r>
          <w:r>
            <w:rPr>
              <w:rFonts w:hint="eastAsia"/>
            </w:rPr>
            <w:t>4</w:t>
          </w:r>
        </w:p>
        <w:p>
          <w:pPr>
            <w:pStyle w:val="14"/>
            <w:rPr>
              <w:rFonts w:asciiTheme="minorHAnsi" w:hAnsiTheme="minorHAnsi"/>
              <w:iCs w:val="0"/>
              <w:color w:val="auto"/>
              <w:kern w:val="2"/>
              <w:sz w:val="21"/>
            </w:rPr>
          </w:pPr>
          <w:r>
            <w:fldChar w:fldCharType="begin"/>
          </w:r>
          <w:r>
            <w:instrText xml:space="preserve"> HYPERLINK \l "_Toc48230913" </w:instrText>
          </w:r>
          <w:r>
            <w:fldChar w:fldCharType="separate"/>
          </w:r>
          <w:r>
            <w:rPr>
              <w:rStyle w:val="20"/>
              <w:rFonts w:hint="eastAsia" w:cs="Times New Roman" w:asciiTheme="majorEastAsia" w:hAnsiTheme="majorEastAsia"/>
              <w:lang w:val="zh-CN"/>
            </w:rPr>
            <w:t>第三部分</w:t>
          </w:r>
          <w:r>
            <w:rPr>
              <w:rStyle w:val="20"/>
              <w:rFonts w:cs="Times New Roman" w:asciiTheme="majorEastAsia" w:hAnsiTheme="majorEastAsia"/>
              <w:lang w:val="zh-CN"/>
            </w:rPr>
            <w:t xml:space="preserve"> </w:t>
          </w:r>
          <w:r>
            <w:rPr>
              <w:rStyle w:val="20"/>
              <w:rFonts w:hint="eastAsia" w:cs="Times New Roman" w:asciiTheme="majorEastAsia" w:hAnsiTheme="majorEastAsia"/>
              <w:lang w:val="zh-CN"/>
            </w:rPr>
            <w:t>技术、服务文件</w:t>
          </w:r>
          <w:r>
            <w:tab/>
          </w:r>
          <w:r>
            <w:fldChar w:fldCharType="begin"/>
          </w:r>
          <w:r>
            <w:instrText xml:space="preserve"> PAGEREF _Toc48230913 \h </w:instrText>
          </w:r>
          <w:r>
            <w:fldChar w:fldCharType="separate"/>
          </w:r>
          <w:r>
            <w:t>36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"_Toc48230914" </w:instrText>
          </w:r>
          <w:r>
            <w:fldChar w:fldCharType="separate"/>
          </w:r>
          <w:r>
            <w:rPr>
              <w:rStyle w:val="20"/>
              <w:rFonts w:hint="eastAsia" w:eastAsia="宋体"/>
            </w:rPr>
            <w:t>附件一、</w:t>
          </w:r>
          <w:r>
            <w:rPr>
              <w:rFonts w:asciiTheme="minorHAnsi" w:hAnsiTheme="minorHAnsi"/>
              <w:iCs w:val="0"/>
              <w:color w:val="auto"/>
              <w:kern w:val="2"/>
              <w:sz w:val="21"/>
            </w:rPr>
            <w:tab/>
          </w:r>
          <w:r>
            <w:rPr>
              <w:rStyle w:val="20"/>
              <w:rFonts w:hint="eastAsia" w:eastAsia="宋体"/>
            </w:rPr>
            <w:t>投标书</w:t>
          </w:r>
          <w:r>
            <w:tab/>
          </w:r>
          <w:r>
            <w:rPr>
              <w:rFonts w:hint="eastAsia"/>
            </w:rPr>
            <w:t>3</w:t>
          </w:r>
          <w:r>
            <w:rPr>
              <w:rFonts w:hint="eastAsia"/>
            </w:rPr>
            <w:fldChar w:fldCharType="end"/>
          </w:r>
          <w:r>
            <w:rPr>
              <w:rFonts w:hint="eastAsia"/>
            </w:rPr>
            <w:t>8</w:t>
          </w:r>
        </w:p>
        <w:p>
          <w:pPr>
            <w:pStyle w:val="14"/>
            <w:rPr>
              <w:rFonts w:asciiTheme="minorHAnsi" w:hAnsiTheme="minorHAnsi"/>
              <w:iCs w:val="0"/>
              <w:color w:val="auto"/>
              <w:kern w:val="2"/>
              <w:sz w:val="21"/>
            </w:rPr>
          </w:pPr>
          <w:r>
            <w:fldChar w:fldCharType="begin"/>
          </w:r>
          <w:r>
            <w:instrText xml:space="preserve"> HYPERLINK \l "_Toc48230915" </w:instrText>
          </w:r>
          <w:r>
            <w:fldChar w:fldCharType="separate"/>
          </w:r>
          <w:r>
            <w:rPr>
              <w:rStyle w:val="20"/>
              <w:rFonts w:hint="eastAsia" w:eastAsia="宋体"/>
            </w:rPr>
            <w:t>附件二、</w:t>
          </w:r>
          <w:r>
            <w:rPr>
              <w:rFonts w:asciiTheme="minorHAnsi" w:hAnsiTheme="minorHAnsi"/>
              <w:iCs w:val="0"/>
              <w:color w:val="auto"/>
              <w:kern w:val="2"/>
              <w:sz w:val="21"/>
            </w:rPr>
            <w:tab/>
          </w:r>
          <w:r>
            <w:rPr>
              <w:rStyle w:val="20"/>
              <w:rFonts w:hint="eastAsia" w:eastAsia="宋体"/>
            </w:rPr>
            <w:t>制造商中小企业声明函</w:t>
          </w:r>
          <w:r>
            <w:tab/>
          </w:r>
          <w:r>
            <w:rPr>
              <w:rFonts w:hint="eastAsia"/>
            </w:rPr>
            <w:t>3</w:t>
          </w:r>
          <w:r>
            <w:rPr>
              <w:rFonts w:hint="eastAsia"/>
            </w:rPr>
            <w:fldChar w:fldCharType="end"/>
          </w:r>
          <w:r>
            <w:rPr>
              <w:rFonts w:hint="eastAsia"/>
            </w:rPr>
            <w:t>9</w:t>
          </w:r>
        </w:p>
        <w:p>
          <w:pPr>
            <w:pStyle w:val="14"/>
            <w:rPr>
              <w:rFonts w:asciiTheme="minorHAnsi" w:hAnsiTheme="minorHAnsi"/>
              <w:iCs w:val="0"/>
              <w:color w:val="auto"/>
              <w:kern w:val="2"/>
              <w:sz w:val="21"/>
            </w:rPr>
          </w:pPr>
          <w:r>
            <w:fldChar w:fldCharType="begin"/>
          </w:r>
          <w:r>
            <w:instrText xml:space="preserve"> HYPERLINK \l "_Toc48230916" </w:instrText>
          </w:r>
          <w:r>
            <w:fldChar w:fldCharType="separate"/>
          </w:r>
          <w:r>
            <w:rPr>
              <w:rStyle w:val="20"/>
              <w:rFonts w:hint="eastAsia" w:eastAsia="宋体"/>
            </w:rPr>
            <w:t>附件三、</w:t>
          </w:r>
          <w:r>
            <w:rPr>
              <w:rFonts w:asciiTheme="minorHAnsi" w:hAnsiTheme="minorHAnsi"/>
              <w:iCs w:val="0"/>
              <w:color w:val="auto"/>
              <w:kern w:val="2"/>
              <w:sz w:val="21"/>
            </w:rPr>
            <w:tab/>
          </w:r>
          <w:r>
            <w:rPr>
              <w:rStyle w:val="20"/>
              <w:rFonts w:hint="eastAsia" w:eastAsia="宋体"/>
            </w:rPr>
            <w:t>中小企业声明函</w:t>
          </w:r>
          <w:r>
            <w:tab/>
          </w:r>
          <w:r>
            <w:rPr>
              <w:rFonts w:hint="eastAsia"/>
            </w:rPr>
            <w:t>4</w:t>
          </w:r>
          <w:r>
            <w:rPr>
              <w:rFonts w:hint="eastAsia"/>
            </w:rPr>
            <w:fldChar w:fldCharType="end"/>
          </w:r>
          <w:r>
            <w:rPr>
              <w:rFonts w:hint="eastAsia"/>
            </w:rPr>
            <w:t>0</w:t>
          </w:r>
        </w:p>
        <w:p>
          <w:pPr>
            <w:pStyle w:val="14"/>
            <w:rPr>
              <w:rFonts w:asciiTheme="minorHAnsi" w:hAnsiTheme="minorHAnsi"/>
              <w:iCs w:val="0"/>
              <w:color w:val="auto"/>
              <w:kern w:val="2"/>
              <w:sz w:val="21"/>
            </w:rPr>
          </w:pPr>
          <w:r>
            <w:fldChar w:fldCharType="begin"/>
          </w:r>
          <w:r>
            <w:instrText xml:space="preserve"> HYPERLINK \l "_Toc48230917" </w:instrText>
          </w:r>
          <w:r>
            <w:fldChar w:fldCharType="separate"/>
          </w:r>
          <w:r>
            <w:rPr>
              <w:rStyle w:val="20"/>
              <w:rFonts w:hint="eastAsia" w:eastAsia="宋体"/>
            </w:rPr>
            <w:t>附件四、</w:t>
          </w:r>
          <w:r>
            <w:rPr>
              <w:rFonts w:asciiTheme="minorHAnsi" w:hAnsiTheme="minorHAnsi"/>
              <w:iCs w:val="0"/>
              <w:color w:val="auto"/>
              <w:kern w:val="2"/>
              <w:sz w:val="21"/>
            </w:rPr>
            <w:tab/>
          </w:r>
          <w:r>
            <w:rPr>
              <w:rStyle w:val="20"/>
              <w:rFonts w:hint="eastAsia" w:eastAsia="宋体"/>
            </w:rPr>
            <w:t>残疾人福利性单位声明函</w:t>
          </w:r>
          <w:r>
            <w:tab/>
          </w:r>
          <w:r>
            <w:fldChar w:fldCharType="begin"/>
          </w:r>
          <w:r>
            <w:instrText xml:space="preserve"> PAGEREF _Toc48230917 \h </w:instrText>
          </w:r>
          <w:r>
            <w:fldChar w:fldCharType="separate"/>
          </w:r>
          <w:r>
            <w:t>42</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"_Toc48230918" </w:instrText>
          </w:r>
          <w:r>
            <w:fldChar w:fldCharType="separate"/>
          </w:r>
          <w:r>
            <w:rPr>
              <w:rStyle w:val="20"/>
              <w:rFonts w:hint="eastAsia" w:eastAsia="宋体"/>
            </w:rPr>
            <w:t>附件五、</w:t>
          </w:r>
          <w:r>
            <w:rPr>
              <w:rFonts w:asciiTheme="minorHAnsi" w:hAnsiTheme="minorHAnsi"/>
              <w:iCs w:val="0"/>
              <w:color w:val="auto"/>
              <w:kern w:val="2"/>
              <w:sz w:val="21"/>
            </w:rPr>
            <w:tab/>
          </w:r>
          <w:r>
            <w:rPr>
              <w:rStyle w:val="20"/>
              <w:rFonts w:hint="eastAsia" w:eastAsia="宋体"/>
            </w:rPr>
            <w:t>开标一览表</w:t>
          </w:r>
          <w:r>
            <w:tab/>
          </w:r>
          <w:r>
            <w:fldChar w:fldCharType="begin"/>
          </w:r>
          <w:r>
            <w:instrText xml:space="preserve"> PAGEREF _Toc48230918 \h </w:instrText>
          </w:r>
          <w:r>
            <w:fldChar w:fldCharType="separate"/>
          </w:r>
          <w:r>
            <w:t>45</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"_Toc48230919" </w:instrText>
          </w:r>
          <w:r>
            <w:fldChar w:fldCharType="separate"/>
          </w:r>
          <w:r>
            <w:rPr>
              <w:rStyle w:val="20"/>
              <w:rFonts w:hint="eastAsia" w:eastAsia="宋体"/>
            </w:rPr>
            <w:t>附件六、</w:t>
          </w:r>
          <w:r>
            <w:rPr>
              <w:rFonts w:asciiTheme="minorHAnsi" w:hAnsiTheme="minorHAnsi"/>
              <w:iCs w:val="0"/>
              <w:color w:val="auto"/>
              <w:kern w:val="2"/>
              <w:sz w:val="21"/>
            </w:rPr>
            <w:tab/>
          </w:r>
          <w:r>
            <w:rPr>
              <w:rStyle w:val="20"/>
              <w:rFonts w:hint="eastAsia" w:eastAsia="宋体"/>
            </w:rPr>
            <w:t>投标报价明细表</w:t>
          </w:r>
          <w:r>
            <w:tab/>
          </w:r>
          <w:r>
            <w:fldChar w:fldCharType="begin"/>
          </w:r>
          <w:r>
            <w:instrText xml:space="preserve"> PAGEREF _Toc48230919 \h </w:instrText>
          </w:r>
          <w:r>
            <w:fldChar w:fldCharType="separate"/>
          </w:r>
          <w:r>
            <w:t>46</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"_Toc48230920" </w:instrText>
          </w:r>
          <w:r>
            <w:fldChar w:fldCharType="separate"/>
          </w:r>
          <w:r>
            <w:rPr>
              <w:rStyle w:val="20"/>
              <w:rFonts w:hint="eastAsia" w:eastAsia="宋体"/>
            </w:rPr>
            <w:t>附件七、</w:t>
          </w:r>
          <w:r>
            <w:rPr>
              <w:rFonts w:asciiTheme="minorHAnsi" w:hAnsiTheme="minorHAnsi"/>
              <w:iCs w:val="0"/>
              <w:color w:val="auto"/>
              <w:kern w:val="2"/>
              <w:sz w:val="21"/>
            </w:rPr>
            <w:tab/>
          </w:r>
          <w:r>
            <w:rPr>
              <w:rStyle w:val="20"/>
              <w:rFonts w:hint="eastAsia" w:eastAsia="宋体"/>
            </w:rPr>
            <w:t>小型和微型企业、监狱企业、残疾人福利性单位货物汇总表</w:t>
          </w:r>
          <w:r>
            <w:tab/>
          </w:r>
          <w:r>
            <w:fldChar w:fldCharType="begin"/>
          </w:r>
          <w:r>
            <w:instrText xml:space="preserve"> PAGEREF _Toc48230920 \h </w:instrText>
          </w:r>
          <w:r>
            <w:fldChar w:fldCharType="separate"/>
          </w:r>
          <w:r>
            <w:t>47</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"_Toc48230921" </w:instrText>
          </w:r>
          <w:r>
            <w:fldChar w:fldCharType="separate"/>
          </w:r>
          <w:r>
            <w:rPr>
              <w:rStyle w:val="20"/>
              <w:rFonts w:hint="eastAsia" w:eastAsia="宋体"/>
            </w:rPr>
            <w:t>附件八、</w:t>
          </w:r>
          <w:r>
            <w:rPr>
              <w:rFonts w:asciiTheme="minorHAnsi" w:hAnsiTheme="minorHAnsi"/>
              <w:iCs w:val="0"/>
              <w:color w:val="auto"/>
              <w:kern w:val="2"/>
              <w:sz w:val="21"/>
            </w:rPr>
            <w:tab/>
          </w:r>
          <w:r>
            <w:rPr>
              <w:rStyle w:val="20"/>
              <w:rFonts w:hint="eastAsia" w:eastAsia="宋体"/>
            </w:rPr>
            <w:t>投标货物（工程或服务）清单</w:t>
          </w:r>
          <w:r>
            <w:tab/>
          </w:r>
          <w:r>
            <w:fldChar w:fldCharType="begin"/>
          </w:r>
          <w:r>
            <w:instrText xml:space="preserve"> PAGEREF _Toc48230921 \h </w:instrText>
          </w:r>
          <w:r>
            <w:fldChar w:fldCharType="separate"/>
          </w:r>
          <w:r>
            <w:t>48</w:t>
          </w:r>
          <w:r>
            <w:fldChar w:fldCharType="end"/>
          </w:r>
          <w:r>
            <w:fldChar w:fldCharType="end"/>
          </w:r>
        </w:p>
        <w:p>
          <w:pPr>
            <w:pStyle w:val="14"/>
            <w:rPr>
              <w:rFonts w:asciiTheme="minorHAnsi" w:hAnsiTheme="minorHAnsi"/>
              <w:iCs w:val="0"/>
              <w:color w:val="auto"/>
              <w:kern w:val="2"/>
              <w:sz w:val="21"/>
            </w:rPr>
          </w:pPr>
          <w:r>
            <w:fldChar w:fldCharType="begin"/>
          </w:r>
          <w:r>
            <w:instrText xml:space="preserve"> HYPERLINK \l "_Toc48230922" </w:instrText>
          </w:r>
          <w:r>
            <w:fldChar w:fldCharType="separate"/>
          </w:r>
          <w:r>
            <w:rPr>
              <w:rStyle w:val="20"/>
              <w:rFonts w:hint="eastAsia" w:eastAsia="宋体"/>
            </w:rPr>
            <w:t>附件九、</w:t>
          </w:r>
          <w:r>
            <w:rPr>
              <w:rFonts w:asciiTheme="minorHAnsi" w:hAnsiTheme="minorHAnsi"/>
              <w:iCs w:val="0"/>
              <w:color w:val="auto"/>
              <w:kern w:val="2"/>
              <w:sz w:val="21"/>
            </w:rPr>
            <w:tab/>
          </w:r>
          <w:r>
            <w:rPr>
              <w:rStyle w:val="20"/>
              <w:rFonts w:hint="eastAsia" w:eastAsia="宋体"/>
            </w:rPr>
            <w:t>法定代表人授权书</w:t>
          </w:r>
          <w:r>
            <w:tab/>
          </w:r>
          <w:r>
            <w:rPr>
              <w:rFonts w:hint="eastAsia"/>
            </w:rPr>
            <w:t>4</w:t>
          </w:r>
          <w:r>
            <w:rPr>
              <w:rFonts w:hint="eastAsia"/>
            </w:rPr>
            <w:fldChar w:fldCharType="end"/>
          </w:r>
          <w:r>
            <w:rPr>
              <w:rFonts w:hint="eastAsia"/>
            </w:rPr>
            <w:t>9</w:t>
          </w:r>
        </w:p>
        <w:p>
          <w:pPr>
            <w:pStyle w:val="14"/>
            <w:rPr>
              <w:rFonts w:asciiTheme="minorHAnsi" w:hAnsiTheme="minorHAnsi"/>
              <w:iCs w:val="0"/>
              <w:color w:val="auto"/>
              <w:kern w:val="2"/>
              <w:sz w:val="21"/>
            </w:rPr>
          </w:pPr>
          <w:r>
            <w:fldChar w:fldCharType="begin"/>
          </w:r>
          <w:r>
            <w:instrText xml:space="preserve"> HYPERLINK \l "_Toc48230923" </w:instrText>
          </w:r>
          <w:r>
            <w:fldChar w:fldCharType="separate"/>
          </w:r>
          <w:r>
            <w:rPr>
              <w:rStyle w:val="20"/>
              <w:rFonts w:hint="eastAsia" w:eastAsia="宋体"/>
            </w:rPr>
            <w:t>附件十、</w:t>
          </w:r>
          <w:r>
            <w:rPr>
              <w:rFonts w:asciiTheme="minorHAnsi" w:hAnsiTheme="minorHAnsi"/>
              <w:iCs w:val="0"/>
              <w:color w:val="auto"/>
              <w:kern w:val="2"/>
              <w:sz w:val="21"/>
            </w:rPr>
            <w:tab/>
          </w:r>
          <w:r>
            <w:rPr>
              <w:rStyle w:val="20"/>
              <w:rFonts w:hint="eastAsia" w:eastAsia="宋体"/>
            </w:rPr>
            <w:t>投标人的资格声明</w:t>
          </w:r>
          <w:r>
            <w:tab/>
          </w:r>
          <w:r>
            <w:rPr>
              <w:rFonts w:hint="eastAsia"/>
            </w:rPr>
            <w:t>5</w:t>
          </w:r>
          <w:r>
            <w:rPr>
              <w:rFonts w:hint="eastAsia"/>
            </w:rPr>
            <w:fldChar w:fldCharType="end"/>
          </w:r>
          <w:r>
            <w:rPr>
              <w:rFonts w:hint="eastAsia"/>
            </w:rPr>
            <w:t>0</w:t>
          </w:r>
        </w:p>
        <w:p>
          <w:pPr>
            <w:pStyle w:val="14"/>
            <w:rPr>
              <w:rFonts w:asciiTheme="minorHAnsi" w:hAnsiTheme="minorHAnsi"/>
              <w:iCs w:val="0"/>
              <w:color w:val="auto"/>
              <w:kern w:val="2"/>
              <w:sz w:val="21"/>
            </w:rPr>
          </w:pPr>
          <w:r>
            <w:fldChar w:fldCharType="begin"/>
          </w:r>
          <w:r>
            <w:instrText xml:space="preserve"> HYPERLINK \l "_Toc48230924" </w:instrText>
          </w:r>
          <w:r>
            <w:fldChar w:fldCharType="separate"/>
          </w:r>
          <w:r>
            <w:rPr>
              <w:rStyle w:val="20"/>
              <w:rFonts w:hint="eastAsia" w:eastAsia="宋体"/>
            </w:rPr>
            <w:t>附件十一、</w:t>
          </w:r>
          <w:r>
            <w:rPr>
              <w:rFonts w:asciiTheme="minorHAnsi" w:hAnsiTheme="minorHAnsi"/>
              <w:iCs w:val="0"/>
              <w:color w:val="auto"/>
              <w:kern w:val="2"/>
              <w:sz w:val="21"/>
            </w:rPr>
            <w:tab/>
          </w:r>
          <w:r>
            <w:rPr>
              <w:rStyle w:val="20"/>
              <w:rFonts w:hint="eastAsia" w:eastAsia="宋体"/>
            </w:rPr>
            <w:t>项目负责人、技术负责人简历表</w:t>
          </w:r>
          <w:r>
            <w:tab/>
          </w:r>
          <w:r>
            <w:rPr>
              <w:rFonts w:hint="eastAsia"/>
            </w:rPr>
            <w:t>5</w:t>
          </w:r>
          <w:r>
            <w:rPr>
              <w:rFonts w:hint="eastAsia"/>
            </w:rPr>
            <w:fldChar w:fldCharType="end"/>
          </w:r>
          <w:r>
            <w:rPr>
              <w:rFonts w:hint="eastAsia"/>
            </w:rPr>
            <w:t>1</w:t>
          </w:r>
        </w:p>
        <w:p>
          <w:pPr>
            <w:pStyle w:val="14"/>
            <w:rPr>
              <w:rFonts w:asciiTheme="minorHAnsi" w:hAnsiTheme="minorHAnsi"/>
              <w:iCs w:val="0"/>
              <w:color w:val="auto"/>
              <w:kern w:val="2"/>
              <w:sz w:val="21"/>
            </w:rPr>
          </w:pPr>
          <w:r>
            <w:fldChar w:fldCharType="begin"/>
          </w:r>
          <w:r>
            <w:instrText xml:space="preserve"> HYPERLINK \l "_Toc48230925" </w:instrText>
          </w:r>
          <w:r>
            <w:fldChar w:fldCharType="separate"/>
          </w:r>
          <w:r>
            <w:rPr>
              <w:rStyle w:val="20"/>
              <w:rFonts w:hint="eastAsia" w:eastAsia="宋体"/>
            </w:rPr>
            <w:t>附件十二、</w:t>
          </w:r>
          <w:r>
            <w:rPr>
              <w:rFonts w:asciiTheme="minorHAnsi" w:hAnsiTheme="minorHAnsi"/>
              <w:iCs w:val="0"/>
              <w:color w:val="auto"/>
              <w:kern w:val="2"/>
              <w:sz w:val="21"/>
            </w:rPr>
            <w:tab/>
          </w:r>
          <w:r>
            <w:rPr>
              <w:rStyle w:val="20"/>
              <w:rFonts w:hint="eastAsia" w:eastAsia="宋体"/>
            </w:rPr>
            <w:t>项目班子成员情况表</w:t>
          </w:r>
          <w:r>
            <w:tab/>
          </w:r>
          <w:r>
            <w:rPr>
              <w:rFonts w:hint="eastAsia"/>
            </w:rPr>
            <w:t>5</w:t>
          </w:r>
          <w:r>
            <w:rPr>
              <w:rFonts w:hint="eastAsia"/>
            </w:rPr>
            <w:fldChar w:fldCharType="end"/>
          </w:r>
          <w:r>
            <w:rPr>
              <w:rFonts w:hint="eastAsia"/>
            </w:rPr>
            <w:t>2</w:t>
          </w:r>
        </w:p>
        <w:p>
          <w:pPr>
            <w:pStyle w:val="14"/>
            <w:rPr>
              <w:rFonts w:asciiTheme="minorHAnsi" w:hAnsiTheme="minorHAnsi"/>
              <w:iCs w:val="0"/>
              <w:color w:val="auto"/>
              <w:kern w:val="2"/>
              <w:sz w:val="21"/>
            </w:rPr>
          </w:pPr>
          <w:r>
            <w:fldChar w:fldCharType="begin"/>
          </w:r>
          <w:r>
            <w:instrText xml:space="preserve"> HYPERLINK \l "_Toc48230926" </w:instrText>
          </w:r>
          <w:r>
            <w:fldChar w:fldCharType="separate"/>
          </w:r>
          <w:r>
            <w:rPr>
              <w:rStyle w:val="20"/>
              <w:rFonts w:hint="eastAsia" w:eastAsia="宋体"/>
            </w:rPr>
            <w:t>附件十三、</w:t>
          </w:r>
          <w:r>
            <w:rPr>
              <w:rFonts w:asciiTheme="minorHAnsi" w:hAnsiTheme="minorHAnsi"/>
              <w:iCs w:val="0"/>
              <w:color w:val="auto"/>
              <w:kern w:val="2"/>
              <w:sz w:val="21"/>
            </w:rPr>
            <w:tab/>
          </w:r>
          <w:r>
            <w:rPr>
              <w:rStyle w:val="20"/>
              <w:rFonts w:hint="eastAsia" w:eastAsia="宋体"/>
            </w:rPr>
            <w:t>投标人类似项目业绩表</w:t>
          </w:r>
          <w:r>
            <w:tab/>
          </w:r>
          <w:r>
            <w:rPr>
              <w:rFonts w:hint="eastAsia"/>
            </w:rPr>
            <w:t>5</w:t>
          </w:r>
          <w:r>
            <w:rPr>
              <w:rFonts w:hint="eastAsia"/>
            </w:rPr>
            <w:fldChar w:fldCharType="end"/>
          </w:r>
          <w:r>
            <w:rPr>
              <w:rFonts w:hint="eastAsia"/>
            </w:rPr>
            <w:t>3</w:t>
          </w:r>
        </w:p>
        <w:p>
          <w:pPr>
            <w:pStyle w:val="14"/>
            <w:rPr>
              <w:rFonts w:asciiTheme="minorHAnsi" w:hAnsiTheme="minorHAnsi"/>
              <w:iCs w:val="0"/>
              <w:color w:val="auto"/>
              <w:kern w:val="2"/>
              <w:sz w:val="21"/>
            </w:rPr>
          </w:pPr>
          <w:r>
            <w:fldChar w:fldCharType="begin"/>
          </w:r>
          <w:r>
            <w:instrText xml:space="preserve"> HYPERLINK \l "_Toc48230927" </w:instrText>
          </w:r>
          <w:r>
            <w:fldChar w:fldCharType="separate"/>
          </w:r>
          <w:r>
            <w:rPr>
              <w:rStyle w:val="20"/>
              <w:rFonts w:hint="eastAsia" w:eastAsia="宋体"/>
            </w:rPr>
            <w:t>附件十四、</w:t>
          </w:r>
          <w:r>
            <w:rPr>
              <w:rFonts w:asciiTheme="minorHAnsi" w:hAnsiTheme="minorHAnsi"/>
              <w:iCs w:val="0"/>
              <w:color w:val="auto"/>
              <w:kern w:val="2"/>
              <w:sz w:val="21"/>
            </w:rPr>
            <w:tab/>
          </w:r>
          <w:r>
            <w:rPr>
              <w:rStyle w:val="20"/>
              <w:rFonts w:hint="eastAsia" w:eastAsia="宋体"/>
            </w:rPr>
            <w:t>符合性审查对照表</w:t>
          </w:r>
          <w:r>
            <w:tab/>
          </w:r>
          <w:r>
            <w:rPr>
              <w:rFonts w:hint="eastAsia"/>
            </w:rPr>
            <w:t>5</w:t>
          </w:r>
          <w:r>
            <w:rPr>
              <w:rFonts w:hint="eastAsia"/>
            </w:rPr>
            <w:fldChar w:fldCharType="end"/>
          </w:r>
          <w:r>
            <w:rPr>
              <w:rFonts w:hint="eastAsia"/>
            </w:rPr>
            <w:t>4</w:t>
          </w:r>
        </w:p>
        <w:p>
          <w:pPr>
            <w:pStyle w:val="14"/>
            <w:rPr>
              <w:rFonts w:asciiTheme="minorHAnsi" w:hAnsiTheme="minorHAnsi"/>
              <w:iCs w:val="0"/>
              <w:color w:val="auto"/>
              <w:kern w:val="2"/>
              <w:sz w:val="21"/>
            </w:rPr>
          </w:pPr>
          <w:r>
            <w:fldChar w:fldCharType="begin"/>
          </w:r>
          <w:r>
            <w:instrText xml:space="preserve"> HYPERLINK \l "_Toc48230928" </w:instrText>
          </w:r>
          <w:r>
            <w:fldChar w:fldCharType="separate"/>
          </w:r>
          <w:r>
            <w:rPr>
              <w:rStyle w:val="20"/>
              <w:rFonts w:hint="eastAsia" w:eastAsia="宋体"/>
            </w:rPr>
            <w:t>附件十五、</w:t>
          </w:r>
          <w:r>
            <w:rPr>
              <w:rFonts w:asciiTheme="minorHAnsi" w:hAnsiTheme="minorHAnsi"/>
              <w:iCs w:val="0"/>
              <w:color w:val="auto"/>
              <w:kern w:val="2"/>
              <w:sz w:val="21"/>
            </w:rPr>
            <w:tab/>
          </w:r>
          <w:r>
            <w:rPr>
              <w:rStyle w:val="20"/>
              <w:rFonts w:hint="eastAsia" w:eastAsia="宋体"/>
            </w:rPr>
            <w:t>商务要求响应、偏离说明表</w:t>
          </w:r>
          <w:r>
            <w:tab/>
          </w:r>
          <w:r>
            <w:rPr>
              <w:rFonts w:hint="eastAsia"/>
            </w:rPr>
            <w:t>5</w:t>
          </w:r>
          <w:r>
            <w:rPr>
              <w:rFonts w:hint="eastAsia"/>
            </w:rPr>
            <w:fldChar w:fldCharType="end"/>
          </w:r>
          <w:r>
            <w:rPr>
              <w:rFonts w:hint="eastAsia"/>
            </w:rPr>
            <w:t>5</w:t>
          </w:r>
        </w:p>
        <w:p>
          <w:pPr>
            <w:pStyle w:val="14"/>
            <w:rPr>
              <w:rFonts w:asciiTheme="minorHAnsi" w:hAnsiTheme="minorHAnsi"/>
              <w:iCs w:val="0"/>
              <w:color w:val="auto"/>
              <w:kern w:val="2"/>
              <w:sz w:val="21"/>
            </w:rPr>
          </w:pPr>
          <w:r>
            <w:fldChar w:fldCharType="begin"/>
          </w:r>
          <w:r>
            <w:instrText xml:space="preserve"> HYPERLINK \l "_Toc48230929" </w:instrText>
          </w:r>
          <w:r>
            <w:fldChar w:fldCharType="separate"/>
          </w:r>
          <w:r>
            <w:rPr>
              <w:rStyle w:val="20"/>
              <w:rFonts w:hint="eastAsia" w:eastAsia="宋体"/>
            </w:rPr>
            <w:t>附件十六、</w:t>
          </w:r>
          <w:r>
            <w:rPr>
              <w:rFonts w:asciiTheme="minorHAnsi" w:hAnsiTheme="minorHAnsi"/>
              <w:iCs w:val="0"/>
              <w:color w:val="auto"/>
              <w:kern w:val="2"/>
              <w:sz w:val="21"/>
            </w:rPr>
            <w:tab/>
          </w:r>
          <w:r>
            <w:rPr>
              <w:rStyle w:val="20"/>
              <w:rFonts w:hint="eastAsia" w:eastAsia="宋体"/>
            </w:rPr>
            <w:t>商务要求“★”号条款响应、偏离说明表</w:t>
          </w:r>
          <w:r>
            <w:tab/>
          </w:r>
          <w:r>
            <w:rPr>
              <w:rFonts w:hint="eastAsia"/>
            </w:rPr>
            <w:t>5</w:t>
          </w:r>
          <w:r>
            <w:rPr>
              <w:rFonts w:hint="eastAsia"/>
            </w:rPr>
            <w:fldChar w:fldCharType="end"/>
          </w:r>
          <w:r>
            <w:rPr>
              <w:rFonts w:hint="eastAsia"/>
            </w:rPr>
            <w:t>6</w:t>
          </w:r>
        </w:p>
        <w:p>
          <w:pPr>
            <w:pStyle w:val="14"/>
            <w:rPr>
              <w:rFonts w:asciiTheme="minorHAnsi" w:hAnsiTheme="minorHAnsi"/>
              <w:iCs w:val="0"/>
              <w:color w:val="auto"/>
              <w:kern w:val="2"/>
              <w:sz w:val="21"/>
            </w:rPr>
          </w:pPr>
          <w:r>
            <w:fldChar w:fldCharType="begin"/>
          </w:r>
          <w:r>
            <w:instrText xml:space="preserve"> HYPERLINK \l "_Toc48230930" </w:instrText>
          </w:r>
          <w:r>
            <w:fldChar w:fldCharType="separate"/>
          </w:r>
          <w:r>
            <w:rPr>
              <w:rStyle w:val="20"/>
              <w:rFonts w:hint="eastAsia" w:eastAsia="宋体"/>
            </w:rPr>
            <w:t>附件十七、</w:t>
          </w:r>
          <w:r>
            <w:rPr>
              <w:rFonts w:asciiTheme="minorHAnsi" w:hAnsiTheme="minorHAnsi"/>
              <w:iCs w:val="0"/>
              <w:color w:val="auto"/>
              <w:kern w:val="2"/>
              <w:sz w:val="21"/>
            </w:rPr>
            <w:tab/>
          </w:r>
          <w:r>
            <w:rPr>
              <w:rStyle w:val="20"/>
              <w:rFonts w:hint="eastAsia" w:eastAsia="宋体"/>
            </w:rPr>
            <w:t>商务评议对照表</w:t>
          </w:r>
          <w:r>
            <w:tab/>
          </w:r>
          <w:r>
            <w:rPr>
              <w:rFonts w:hint="eastAsia"/>
            </w:rPr>
            <w:t>5</w:t>
          </w:r>
          <w:r>
            <w:rPr>
              <w:rFonts w:hint="eastAsia"/>
            </w:rPr>
            <w:fldChar w:fldCharType="end"/>
          </w:r>
          <w:r>
            <w:rPr>
              <w:rFonts w:hint="eastAsia"/>
            </w:rPr>
            <w:t>7</w:t>
          </w:r>
        </w:p>
        <w:p>
          <w:pPr>
            <w:pStyle w:val="14"/>
            <w:rPr>
              <w:rFonts w:asciiTheme="minorHAnsi" w:hAnsiTheme="minorHAnsi"/>
              <w:iCs w:val="0"/>
              <w:color w:val="auto"/>
              <w:kern w:val="2"/>
              <w:sz w:val="21"/>
            </w:rPr>
          </w:pPr>
          <w:r>
            <w:fldChar w:fldCharType="begin"/>
          </w:r>
          <w:r>
            <w:instrText xml:space="preserve"> HYPERLINK \l "_Toc48230931" </w:instrText>
          </w:r>
          <w:r>
            <w:fldChar w:fldCharType="separate"/>
          </w:r>
          <w:r>
            <w:rPr>
              <w:rStyle w:val="20"/>
              <w:rFonts w:hint="eastAsia" w:eastAsia="宋体"/>
            </w:rPr>
            <w:t>附件十八、</w:t>
          </w:r>
          <w:r>
            <w:rPr>
              <w:rFonts w:asciiTheme="minorHAnsi" w:hAnsiTheme="minorHAnsi"/>
              <w:iCs w:val="0"/>
              <w:color w:val="auto"/>
              <w:kern w:val="2"/>
              <w:sz w:val="21"/>
            </w:rPr>
            <w:tab/>
          </w:r>
          <w:r>
            <w:rPr>
              <w:rStyle w:val="20"/>
              <w:rFonts w:hint="eastAsia" w:eastAsia="宋体"/>
            </w:rPr>
            <w:t>技术、服务要求响应、偏离说明表</w:t>
          </w:r>
          <w:r>
            <w:tab/>
          </w:r>
          <w:r>
            <w:rPr>
              <w:rFonts w:hint="eastAsia"/>
            </w:rPr>
            <w:t>5</w:t>
          </w:r>
          <w:r>
            <w:rPr>
              <w:rFonts w:hint="eastAsia"/>
            </w:rPr>
            <w:fldChar w:fldCharType="end"/>
          </w:r>
          <w:r>
            <w:rPr>
              <w:rFonts w:hint="eastAsia"/>
            </w:rPr>
            <w:t>8</w:t>
          </w:r>
        </w:p>
        <w:p>
          <w:pPr>
            <w:pStyle w:val="14"/>
            <w:rPr>
              <w:rFonts w:asciiTheme="minorHAnsi" w:hAnsiTheme="minorHAnsi"/>
              <w:iCs w:val="0"/>
              <w:color w:val="auto"/>
              <w:kern w:val="2"/>
              <w:sz w:val="21"/>
            </w:rPr>
          </w:pPr>
          <w:r>
            <w:fldChar w:fldCharType="begin"/>
          </w:r>
          <w:r>
            <w:instrText xml:space="preserve"> HYPERLINK \l "_Toc48230932" </w:instrText>
          </w:r>
          <w:r>
            <w:fldChar w:fldCharType="separate"/>
          </w:r>
          <w:r>
            <w:rPr>
              <w:rStyle w:val="20"/>
              <w:rFonts w:hint="eastAsia" w:eastAsia="宋体"/>
            </w:rPr>
            <w:t>附件十九、</w:t>
          </w:r>
          <w:r>
            <w:rPr>
              <w:rFonts w:asciiTheme="minorHAnsi" w:hAnsiTheme="minorHAnsi"/>
              <w:iCs w:val="0"/>
              <w:color w:val="auto"/>
              <w:kern w:val="2"/>
              <w:sz w:val="21"/>
            </w:rPr>
            <w:tab/>
          </w:r>
          <w:r>
            <w:rPr>
              <w:rStyle w:val="20"/>
              <w:rFonts w:hint="eastAsia" w:eastAsia="宋体"/>
            </w:rPr>
            <w:t>技术、服务要求“★”号条款响应、偏离说明表</w:t>
          </w:r>
          <w:r>
            <w:tab/>
          </w:r>
          <w:r>
            <w:rPr>
              <w:rFonts w:hint="eastAsia"/>
            </w:rPr>
            <w:t>5</w:t>
          </w:r>
          <w:r>
            <w:rPr>
              <w:rFonts w:hint="eastAsia"/>
            </w:rPr>
            <w:fldChar w:fldCharType="end"/>
          </w:r>
          <w:r>
            <w:rPr>
              <w:rFonts w:hint="eastAsia"/>
            </w:rPr>
            <w:t>9</w:t>
          </w:r>
        </w:p>
        <w:p>
          <w:pPr>
            <w:pStyle w:val="14"/>
            <w:rPr>
              <w:rFonts w:asciiTheme="minorHAnsi" w:hAnsiTheme="minorHAnsi"/>
              <w:iCs w:val="0"/>
              <w:color w:val="auto"/>
              <w:kern w:val="2"/>
              <w:sz w:val="21"/>
            </w:rPr>
          </w:pPr>
          <w:r>
            <w:fldChar w:fldCharType="begin"/>
          </w:r>
          <w:r>
            <w:instrText xml:space="preserve"> HYPERLINK \l "_Toc48230933" </w:instrText>
          </w:r>
          <w:r>
            <w:fldChar w:fldCharType="separate"/>
          </w:r>
          <w:r>
            <w:rPr>
              <w:rStyle w:val="20"/>
              <w:rFonts w:hint="eastAsia" w:eastAsia="宋体"/>
            </w:rPr>
            <w:t>附件二十、</w:t>
          </w:r>
          <w:r>
            <w:rPr>
              <w:rFonts w:asciiTheme="minorHAnsi" w:hAnsiTheme="minorHAnsi"/>
              <w:iCs w:val="0"/>
              <w:color w:val="auto"/>
              <w:kern w:val="2"/>
              <w:sz w:val="21"/>
            </w:rPr>
            <w:tab/>
          </w:r>
          <w:r>
            <w:rPr>
              <w:rStyle w:val="20"/>
              <w:rFonts w:hint="eastAsia" w:eastAsia="宋体"/>
            </w:rPr>
            <w:t>技术、服务评议对照表</w:t>
          </w:r>
          <w:r>
            <w:tab/>
          </w:r>
          <w:r>
            <w:rPr>
              <w:rFonts w:hint="eastAsia"/>
            </w:rPr>
            <w:t>6</w:t>
          </w:r>
          <w:r>
            <w:rPr>
              <w:rFonts w:hint="eastAsia"/>
            </w:rPr>
            <w:fldChar w:fldCharType="end"/>
          </w:r>
          <w:r>
            <w:rPr>
              <w:rFonts w:hint="eastAsia"/>
            </w:rPr>
            <w:t>0</w:t>
          </w:r>
        </w:p>
        <w:p>
          <w:pPr>
            <w:pStyle w:val="12"/>
            <w:tabs>
              <w:tab w:val="left" w:pos="1260"/>
              <w:tab w:val="right" w:leader="dot" w:pos="9514"/>
            </w:tabs>
            <w:rPr>
              <w:b w:val="0"/>
              <w:bCs/>
              <w:lang w:val="zh-CN"/>
            </w:rPr>
          </w:pPr>
          <w:r>
            <w:fldChar w:fldCharType="end"/>
          </w:r>
          <w:r>
            <w:rPr>
              <w:b w:val="0"/>
              <w:bCs/>
              <w:lang w:val="zh-CN"/>
            </w:rPr>
            <w:tab/>
          </w:r>
        </w:p>
      </w:sdtContent>
    </w:sdt>
    <w:p>
      <w:pPr>
        <w:pStyle w:val="2"/>
      </w:pPr>
    </w:p>
    <w:p>
      <w:r>
        <w:br w:type="page"/>
      </w:r>
    </w:p>
    <w:p>
      <w:pPr>
        <w:pStyle w:val="2"/>
        <w:numPr>
          <w:ilvl w:val="0"/>
          <w:numId w:val="1"/>
        </w:numPr>
        <w:spacing w:before="240" w:after="120"/>
        <w:ind w:left="883" w:hanging="880" w:hangingChars="200"/>
        <w:jc w:val="center"/>
        <w:rPr>
          <w:rFonts w:ascii="黑体" w:hAnsi="黑体" w:eastAsia="黑体"/>
        </w:rPr>
      </w:pPr>
      <w:bookmarkStart w:id="0" w:name="_Toc48230881"/>
      <w:r>
        <w:rPr>
          <w:rFonts w:hint="eastAsia" w:ascii="黑体" w:hAnsi="黑体" w:eastAsia="黑体"/>
        </w:rPr>
        <w:t>投标邀请书</w:t>
      </w:r>
      <w:bookmarkEnd w:id="0"/>
    </w:p>
    <w:p>
      <w:pPr>
        <w:spacing w:line="48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依据</w:t>
      </w:r>
      <w:r>
        <w:rPr>
          <w:rFonts w:hint="eastAsia" w:ascii="宋体" w:hAnsi="宋体" w:eastAsia="宋体" w:cs="Times New Roman"/>
          <w:color w:val="0C0C0C" w:themeColor="text1" w:themeTint="F2"/>
          <w:sz w:val="24"/>
          <w:szCs w:val="24"/>
          <w:highlight w:val="none"/>
        </w:rPr>
        <w:t>阳财采计备[2020]</w:t>
      </w:r>
      <w:r>
        <w:rPr>
          <w:rFonts w:hint="eastAsia" w:ascii="宋体" w:hAnsi="宋体" w:eastAsia="宋体" w:cs="Times New Roman"/>
          <w:color w:val="0C0C0C" w:themeColor="text1" w:themeTint="F2"/>
          <w:sz w:val="24"/>
          <w:szCs w:val="24"/>
          <w:highlight w:val="none"/>
          <w:lang w:val="en-US" w:eastAsia="zh-CN"/>
        </w:rPr>
        <w:t>A137</w:t>
      </w:r>
      <w:r>
        <w:rPr>
          <w:rFonts w:hint="eastAsia" w:ascii="宋体" w:hAnsi="宋体" w:eastAsia="宋体" w:cs="Times New Roman"/>
          <w:color w:val="0C0C0C" w:themeColor="text1" w:themeTint="F2"/>
          <w:sz w:val="24"/>
          <w:szCs w:val="24"/>
          <w:highlight w:val="none"/>
        </w:rPr>
        <w:t>号</w:t>
      </w:r>
      <w:r>
        <w:rPr>
          <w:rFonts w:hint="eastAsia" w:ascii="宋体" w:hAnsi="宋体" w:eastAsia="宋体" w:cs="Times New Roman"/>
          <w:color w:val="0C0C0C" w:themeColor="text1" w:themeTint="F2"/>
          <w:sz w:val="24"/>
          <w:szCs w:val="24"/>
        </w:rPr>
        <w:t>备案表的要求，武汉富纳工程咨询有限公司受黄石新港（物流）工业园区经济发展局的委托，就湖北阳新经济开发区总体规划（2019-2030年）（调整）环评项目进行公开招标采购，欢迎符合条件的投标人投标。</w:t>
      </w:r>
    </w:p>
    <w:p>
      <w:pPr>
        <w:spacing w:line="360" w:lineRule="auto"/>
        <w:rPr>
          <w:rFonts w:hint="default" w:ascii="宋体" w:hAnsi="宋体" w:eastAsia="宋体" w:cs="Times New Roman"/>
          <w:b/>
          <w:color w:val="0C0C0C" w:themeColor="text1" w:themeTint="F2"/>
          <w:sz w:val="24"/>
          <w:szCs w:val="24"/>
          <w:lang w:val="en-US" w:eastAsia="zh-CN"/>
        </w:rPr>
      </w:pPr>
      <w:r>
        <w:rPr>
          <w:rFonts w:hint="eastAsia" w:ascii="宋体" w:hAnsi="宋体" w:eastAsia="宋体" w:cs="Times New Roman"/>
          <w:b/>
          <w:color w:val="0C0C0C" w:themeColor="text1" w:themeTint="F2"/>
          <w:sz w:val="24"/>
          <w:szCs w:val="24"/>
        </w:rPr>
        <w:t>一、</w:t>
      </w:r>
      <w:r>
        <w:rPr>
          <w:rFonts w:hint="eastAsia" w:ascii="宋体" w:hAnsi="宋体" w:eastAsia="宋体" w:cs="Times New Roman"/>
          <w:b/>
          <w:color w:val="0C0C0C" w:themeColor="text1" w:themeTint="F2"/>
          <w:sz w:val="24"/>
          <w:szCs w:val="24"/>
          <w:highlight w:val="none"/>
        </w:rPr>
        <w:t>项目编号：</w:t>
      </w:r>
      <w:r>
        <w:rPr>
          <w:rFonts w:hint="eastAsia" w:ascii="宋体" w:hAnsi="宋体" w:eastAsia="宋体" w:cs="Times New Roman"/>
          <w:b w:val="0"/>
          <w:bCs/>
          <w:color w:val="0C0C0C" w:themeColor="text1" w:themeTint="F2"/>
          <w:sz w:val="24"/>
          <w:szCs w:val="24"/>
          <w:highlight w:val="none"/>
          <w:lang w:val="en-US" w:eastAsia="zh-CN"/>
        </w:rPr>
        <w:t>131-2020CG-201</w:t>
      </w:r>
    </w:p>
    <w:p>
      <w:pPr>
        <w:spacing w:line="360" w:lineRule="auto"/>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二、项目名称：</w:t>
      </w:r>
      <w:r>
        <w:rPr>
          <w:rFonts w:hint="eastAsia" w:ascii="宋体" w:hAnsi="宋体" w:eastAsia="宋体" w:cs="Times New Roman"/>
          <w:color w:val="0C0C0C" w:themeColor="text1" w:themeTint="F2"/>
          <w:sz w:val="24"/>
          <w:szCs w:val="24"/>
        </w:rPr>
        <w:t>湖北阳新经济开发区总体规划（2019-2030年）（调整）环评项目</w:t>
      </w:r>
    </w:p>
    <w:p>
      <w:pPr>
        <w:spacing w:line="360" w:lineRule="auto"/>
        <w:ind w:left="1687" w:hanging="1680" w:hangingChars="700"/>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三、招标内容：</w:t>
      </w:r>
      <w:r>
        <w:rPr>
          <w:rFonts w:hint="eastAsia"/>
          <w:sz w:val="24"/>
        </w:rPr>
        <w:t>经济开发</w:t>
      </w:r>
      <w:r>
        <w:rPr>
          <w:sz w:val="24"/>
        </w:rPr>
        <w:t>区环境质量现状检测、现有工业企业污染排放调查、环评报告编制等工作</w:t>
      </w:r>
      <w:r>
        <w:rPr>
          <w:rFonts w:hint="eastAsia" w:ascii="宋体" w:hAnsi="宋体" w:eastAsia="宋体" w:cs="Times New Roman"/>
          <w:color w:val="0C0C0C" w:themeColor="text1" w:themeTint="F2"/>
          <w:sz w:val="24"/>
          <w:szCs w:val="24"/>
        </w:rPr>
        <w:t>采购（详见招标文件《采购清单》）</w:t>
      </w:r>
    </w:p>
    <w:p>
      <w:pPr>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四、采购预算：</w:t>
      </w:r>
      <w:r>
        <w:rPr>
          <w:rFonts w:hint="eastAsia" w:ascii="宋体" w:hAnsi="宋体" w:eastAsia="宋体" w:cs="Times New Roman"/>
          <w:color w:val="0C0C0C" w:themeColor="text1" w:themeTint="F2"/>
          <w:sz w:val="24"/>
          <w:szCs w:val="24"/>
        </w:rPr>
        <w:t>人民币</w:t>
      </w:r>
      <w:r>
        <w:rPr>
          <w:rFonts w:hint="eastAsia" w:ascii="宋体" w:hAnsi="宋体" w:eastAsia="宋体" w:cs="Times New Roman"/>
          <w:bCs/>
          <w:color w:val="0C0C0C" w:themeColor="text1" w:themeTint="F2"/>
          <w:sz w:val="24"/>
          <w:szCs w:val="24"/>
          <w:lang w:eastAsia="zh-CN"/>
        </w:rPr>
        <w:t>170</w:t>
      </w:r>
      <w:r>
        <w:rPr>
          <w:rFonts w:hint="eastAsia" w:ascii="宋体" w:hAnsi="宋体" w:eastAsia="宋体" w:cs="Times New Roman"/>
          <w:color w:val="0C0C0C" w:themeColor="text1" w:themeTint="F2"/>
          <w:sz w:val="24"/>
          <w:szCs w:val="24"/>
        </w:rPr>
        <w:t>万元整</w:t>
      </w:r>
      <w:r>
        <w:rPr>
          <w:rFonts w:hint="eastAsia" w:ascii="宋体" w:hAnsi="宋体" w:eastAsia="宋体" w:cs="Times New Roman"/>
          <w:b/>
          <w:color w:val="0C0C0C" w:themeColor="text1" w:themeTint="F2"/>
          <w:sz w:val="24"/>
          <w:szCs w:val="24"/>
        </w:rPr>
        <w:t>（超过此金额作为无效投标）</w:t>
      </w:r>
    </w:p>
    <w:p>
      <w:pPr>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五、资金来源：</w:t>
      </w:r>
      <w:r>
        <w:rPr>
          <w:rFonts w:hint="eastAsia" w:ascii="宋体" w:hAnsi="宋体" w:eastAsia="宋体" w:cs="Times New Roman"/>
          <w:color w:val="0C0C0C" w:themeColor="text1" w:themeTint="F2"/>
          <w:sz w:val="24"/>
          <w:szCs w:val="24"/>
        </w:rPr>
        <w:t>财政资金</w:t>
      </w:r>
    </w:p>
    <w:p>
      <w:pPr>
        <w:spacing w:line="360" w:lineRule="auto"/>
        <w:rPr>
          <w:rFonts w:ascii="宋体" w:hAnsi="宋体" w:eastAsia="宋体" w:cs="Times New Roman"/>
          <w:color w:val="0C0C0C" w:themeColor="text1" w:themeTint="F2"/>
          <w:sz w:val="24"/>
          <w:szCs w:val="24"/>
        </w:rPr>
      </w:pPr>
      <w:r>
        <w:rPr>
          <w:rFonts w:hint="eastAsia" w:ascii="宋体" w:hAnsi="宋体" w:eastAsia="宋体" w:cs="Times New Roman"/>
          <w:b/>
          <w:color w:val="0C0C0C" w:themeColor="text1" w:themeTint="F2"/>
          <w:sz w:val="24"/>
          <w:szCs w:val="24"/>
        </w:rPr>
        <w:t>六、政府集中采购项目：否</w:t>
      </w:r>
    </w:p>
    <w:p>
      <w:pPr>
        <w:spacing w:line="360" w:lineRule="auto"/>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七、投标人资格要求：</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1.应具备《政府采购法》第二十二条第一款规定的条件；</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2.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w:t>
      </w:r>
      <w:r>
        <w:rPr>
          <w:rFonts w:hint="eastAsia" w:ascii="宋体" w:hAnsi="宋体" w:eastAsia="宋体" w:cs="Times New Roman"/>
          <w:bCs/>
          <w:color w:val="0D0D0D"/>
          <w:sz w:val="24"/>
          <w:szCs w:val="24"/>
        </w:rPr>
        <w:t>和“中国政府采购”网站（www.ccgp.gov.cn）政府采购严重违法失信行为记录名单</w:t>
      </w:r>
      <w:r>
        <w:rPr>
          <w:rFonts w:hint="eastAsia" w:ascii="宋体" w:hAnsi="宋体" w:eastAsia="宋体" w:cs="Times New Roman"/>
          <w:color w:val="000000" w:themeColor="text1"/>
          <w:sz w:val="24"/>
          <w:szCs w:val="24"/>
        </w:rPr>
        <w:t>（须提供网站截图）</w:t>
      </w:r>
      <w:r>
        <w:rPr>
          <w:rFonts w:hint="eastAsia" w:ascii="宋体" w:hAnsi="宋体" w:eastAsia="宋体" w:cs="Times New Roman"/>
          <w:color w:val="0C0C0C" w:themeColor="text1" w:themeTint="F2"/>
          <w:sz w:val="24"/>
          <w:szCs w:val="24"/>
        </w:rPr>
        <w:t>；</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3.特定条件：</w:t>
      </w:r>
      <w:r>
        <w:rPr>
          <w:rFonts w:hint="eastAsia" w:ascii="宋体" w:hAnsi="宋体" w:cs="宋体"/>
          <w:color w:val="000000"/>
          <w:sz w:val="24"/>
        </w:rPr>
        <w:t>投标人拟派项目负责人须具有环境影响评价工程师职业资格证书</w:t>
      </w:r>
      <w:r>
        <w:rPr>
          <w:rFonts w:hint="eastAsia" w:ascii="宋体" w:hAnsi="宋体" w:cs="宋体"/>
          <w:color w:val="000000"/>
          <w:sz w:val="24"/>
          <w:highlight w:val="none"/>
        </w:rPr>
        <w:t>；</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Times New Roman"/>
          <w:color w:val="0C0C0C" w:themeColor="text1" w:themeTint="F2"/>
          <w:sz w:val="24"/>
          <w:szCs w:val="24"/>
        </w:rPr>
        <w:t>4.不接受联合体形式的投标。</w:t>
      </w:r>
    </w:p>
    <w:p>
      <w:pPr>
        <w:spacing w:line="360" w:lineRule="auto"/>
        <w:rPr>
          <w:rFonts w:ascii="宋体" w:hAnsi="宋体" w:eastAsia="宋体" w:cs="宋体"/>
          <w:b/>
          <w:color w:val="0C0C0C" w:themeColor="text1" w:themeTint="F2"/>
          <w:kern w:val="0"/>
          <w:sz w:val="24"/>
          <w:szCs w:val="24"/>
        </w:rPr>
      </w:pPr>
      <w:r>
        <w:rPr>
          <w:rFonts w:hint="eastAsia" w:ascii="宋体" w:hAnsi="宋体" w:eastAsia="宋体" w:cs="宋体"/>
          <w:b/>
          <w:color w:val="0C0C0C" w:themeColor="text1" w:themeTint="F2"/>
          <w:kern w:val="0"/>
          <w:sz w:val="24"/>
          <w:szCs w:val="24"/>
        </w:rPr>
        <w:t>八、政府采购相关政策执行：</w:t>
      </w:r>
    </w:p>
    <w:p>
      <w:pPr>
        <w:tabs>
          <w:tab w:val="left" w:pos="896"/>
        </w:tabs>
        <w:spacing w:line="360" w:lineRule="auto"/>
        <w:ind w:firstLine="480" w:firstLineChars="200"/>
        <w:rPr>
          <w:rFonts w:ascii="宋体" w:hAnsi="宋体" w:eastAsia="宋体" w:cs="Times New Roman"/>
          <w:color w:val="0C0C0C" w:themeColor="text1" w:themeTint="F2"/>
          <w:sz w:val="24"/>
          <w:szCs w:val="24"/>
        </w:rPr>
      </w:pPr>
      <w:r>
        <w:rPr>
          <w:rFonts w:ascii="宋体" w:hAnsi="宋体" w:eastAsia="宋体" w:cs="Times New Roman"/>
          <w:color w:val="0C0C0C" w:themeColor="text1" w:themeTint="F2"/>
          <w:sz w:val="24"/>
          <w:szCs w:val="24"/>
        </w:rPr>
        <w:t>落实</w:t>
      </w:r>
      <w:r>
        <w:rPr>
          <w:rFonts w:hint="eastAsia" w:ascii="宋体" w:hAnsi="宋体" w:eastAsia="宋体" w:cs="Times New Roman"/>
          <w:color w:val="0C0C0C" w:themeColor="text1" w:themeTint="F2"/>
          <w:sz w:val="24"/>
          <w:szCs w:val="24"/>
        </w:rPr>
        <w:t>政府采购强制、优先采购节能产品政策；政府采购优先采购环保产品政策；政府采购促进中小企业发展（监狱企业、残疾人福利性单位视同小微企业）等政策。</w:t>
      </w:r>
    </w:p>
    <w:p>
      <w:pPr>
        <w:tabs>
          <w:tab w:val="left" w:pos="896"/>
        </w:tabs>
        <w:spacing w:line="360" w:lineRule="auto"/>
        <w:ind w:firstLine="480" w:firstLineChars="200"/>
        <w:rPr>
          <w:rFonts w:ascii="宋体" w:hAnsi="宋体" w:eastAsia="宋体" w:cs="Times New Roman"/>
          <w:b/>
          <w:color w:val="0C0C0C" w:themeColor="text1" w:themeTint="F2"/>
          <w:sz w:val="24"/>
          <w:szCs w:val="24"/>
        </w:rPr>
      </w:pPr>
      <w:r>
        <w:rPr>
          <w:rFonts w:hint="eastAsia" w:ascii="宋体" w:hAnsi="宋体" w:eastAsia="宋体" w:cs="Times New Roman"/>
          <w:b/>
          <w:color w:val="0C0C0C" w:themeColor="text1" w:themeTint="F2"/>
          <w:sz w:val="24"/>
          <w:szCs w:val="24"/>
        </w:rPr>
        <w:t>是否专门面向中小企业、监狱企业、残疾人福利性单位：否。</w:t>
      </w:r>
    </w:p>
    <w:p>
      <w:pPr>
        <w:spacing w:line="360" w:lineRule="auto"/>
        <w:rPr>
          <w:rFonts w:ascii="宋体" w:hAnsi="宋体" w:eastAsia="宋体" w:cs="宋体"/>
          <w:b/>
          <w:color w:val="0C0C0C" w:themeColor="text1" w:themeTint="F2"/>
          <w:kern w:val="0"/>
          <w:sz w:val="24"/>
          <w:szCs w:val="24"/>
        </w:rPr>
      </w:pPr>
      <w:r>
        <w:rPr>
          <w:rFonts w:hint="eastAsia" w:ascii="宋体" w:hAnsi="宋体" w:eastAsia="宋体" w:cs="宋体"/>
          <w:b/>
          <w:color w:val="0C0C0C" w:themeColor="text1" w:themeTint="F2"/>
          <w:kern w:val="0"/>
          <w:sz w:val="24"/>
          <w:szCs w:val="24"/>
          <w:lang w:val="zh-CN"/>
        </w:rPr>
        <w:t>九、招标文件获取</w:t>
      </w:r>
      <w:r>
        <w:rPr>
          <w:rFonts w:hint="eastAsia" w:ascii="宋体" w:hAnsi="宋体" w:eastAsia="宋体" w:cs="宋体"/>
          <w:b/>
          <w:color w:val="0C0C0C" w:themeColor="text1" w:themeTint="F2"/>
          <w:kern w:val="0"/>
          <w:sz w:val="24"/>
          <w:szCs w:val="24"/>
        </w:rPr>
        <w:t>：</w:t>
      </w:r>
    </w:p>
    <w:p>
      <w:pPr>
        <w:widowControl/>
        <w:adjustRightInd w:val="0"/>
        <w:snapToGrid w:val="0"/>
        <w:spacing w:line="360" w:lineRule="auto"/>
        <w:ind w:firstLine="480" w:firstLineChars="200"/>
        <w:jc w:val="left"/>
        <w:rPr>
          <w:rFonts w:ascii="宋体" w:hAnsi="宋体"/>
          <w:b/>
          <w:sz w:val="24"/>
          <w:szCs w:val="24"/>
        </w:rPr>
      </w:pPr>
      <w:r>
        <w:rPr>
          <w:rFonts w:hint="eastAsia" w:ascii="宋体" w:hAnsi="宋体"/>
          <w:sz w:val="24"/>
          <w:szCs w:val="24"/>
        </w:rPr>
        <w:t>本项目实行网上下载标书，招标文件与本招标公告同时发布（见招标文件下载），凡自愿参加本项目投标者，请</w:t>
      </w:r>
      <w:r>
        <w:rPr>
          <w:rFonts w:hint="eastAsia" w:ascii="宋体" w:hAnsi="宋体"/>
          <w:sz w:val="24"/>
          <w:szCs w:val="24"/>
          <w:highlight w:val="none"/>
        </w:rPr>
        <w:t>于2020年</w:t>
      </w:r>
      <w:r>
        <w:rPr>
          <w:rFonts w:hint="eastAsia" w:ascii="宋体" w:hAnsi="宋体"/>
          <w:sz w:val="24"/>
          <w:szCs w:val="24"/>
          <w:highlight w:val="none"/>
          <w:lang w:val="en-US" w:eastAsia="zh-CN"/>
        </w:rPr>
        <w:t>10</w:t>
      </w:r>
      <w:r>
        <w:rPr>
          <w:rFonts w:hint="eastAsia" w:ascii="宋体" w:hAnsi="宋体"/>
          <w:sz w:val="24"/>
          <w:szCs w:val="24"/>
          <w:highlight w:val="none"/>
        </w:rPr>
        <w:t>月</w:t>
      </w:r>
      <w:r>
        <w:rPr>
          <w:rFonts w:hint="eastAsia" w:ascii="宋体" w:hAnsi="宋体"/>
          <w:sz w:val="24"/>
          <w:szCs w:val="24"/>
          <w:highlight w:val="none"/>
          <w:lang w:val="en-US" w:eastAsia="zh-CN"/>
        </w:rPr>
        <w:t>10</w:t>
      </w:r>
      <w:r>
        <w:rPr>
          <w:rFonts w:hint="eastAsia" w:ascii="宋体" w:hAnsi="宋体"/>
          <w:sz w:val="24"/>
          <w:szCs w:val="24"/>
          <w:highlight w:val="none"/>
        </w:rPr>
        <w:t>日至2020年</w:t>
      </w:r>
      <w:r>
        <w:rPr>
          <w:rFonts w:hint="eastAsia" w:ascii="宋体" w:hAnsi="宋体"/>
          <w:sz w:val="24"/>
          <w:szCs w:val="24"/>
          <w:highlight w:val="none"/>
          <w:lang w:val="en-US" w:eastAsia="zh-CN"/>
        </w:rPr>
        <w:t>10</w:t>
      </w:r>
      <w:r>
        <w:rPr>
          <w:rFonts w:hint="eastAsia" w:ascii="宋体" w:hAnsi="宋体"/>
          <w:sz w:val="24"/>
          <w:szCs w:val="24"/>
          <w:highlight w:val="none"/>
        </w:rPr>
        <w:t>月</w:t>
      </w:r>
      <w:r>
        <w:rPr>
          <w:rFonts w:hint="eastAsia" w:ascii="宋体" w:hAnsi="宋体"/>
          <w:sz w:val="24"/>
          <w:szCs w:val="24"/>
          <w:highlight w:val="none"/>
          <w:lang w:val="en-US" w:eastAsia="zh-CN"/>
        </w:rPr>
        <w:t>16</w:t>
      </w:r>
      <w:r>
        <w:rPr>
          <w:rFonts w:hint="eastAsia" w:ascii="宋体" w:hAnsi="宋体"/>
          <w:sz w:val="24"/>
          <w:szCs w:val="24"/>
          <w:highlight w:val="none"/>
        </w:rPr>
        <w:t>日17:30前点</w:t>
      </w:r>
      <w:r>
        <w:rPr>
          <w:rFonts w:hint="eastAsia" w:ascii="宋体" w:hAnsi="宋体"/>
          <w:sz w:val="24"/>
          <w:szCs w:val="24"/>
        </w:rPr>
        <w:t>击项目招标公告中的链接免费下载招标文件，并在投标截止时间前办理所有投标手续并同时递交投标文件。</w:t>
      </w:r>
    </w:p>
    <w:p>
      <w:pPr>
        <w:spacing w:line="360" w:lineRule="auto"/>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十、投标信息：</w:t>
      </w:r>
    </w:p>
    <w:p>
      <w:pPr>
        <w:spacing w:line="360" w:lineRule="auto"/>
        <w:ind w:firstLine="470" w:firstLineChars="196"/>
        <w:rPr>
          <w:rFonts w:ascii="宋体" w:hAnsi="宋体" w:eastAsia="宋体" w:cs="宋体"/>
          <w:b/>
          <w:color w:val="0C0C0C" w:themeColor="text1" w:themeTint="F2"/>
          <w:kern w:val="0"/>
          <w:sz w:val="24"/>
          <w:szCs w:val="24"/>
        </w:rPr>
      </w:pPr>
      <w:r>
        <w:rPr>
          <w:rFonts w:hint="eastAsia" w:ascii="宋体" w:hAnsi="宋体" w:eastAsia="宋体" w:cs="宋体"/>
          <w:color w:val="0C0C0C" w:themeColor="text1" w:themeTint="F2"/>
          <w:kern w:val="0"/>
          <w:sz w:val="24"/>
          <w:szCs w:val="24"/>
        </w:rPr>
        <w:t>投标文件递交截止时间</w:t>
      </w:r>
      <w:r>
        <w:rPr>
          <w:rFonts w:hint="eastAsia" w:ascii="宋体" w:hAnsi="宋体" w:eastAsia="宋体" w:cs="宋体"/>
          <w:color w:val="0C0C0C" w:themeColor="text1" w:themeTint="F2"/>
          <w:kern w:val="0"/>
          <w:sz w:val="24"/>
          <w:szCs w:val="24"/>
          <w:highlight w:val="none"/>
        </w:rPr>
        <w:t>：2020</w:t>
      </w:r>
      <w:r>
        <w:rPr>
          <w:rFonts w:hint="eastAsia" w:ascii="宋体" w:hAnsi="宋体" w:eastAsia="宋体" w:cs="Times New Roman"/>
          <w:color w:val="0C0C0C" w:themeColor="text1" w:themeTint="F2"/>
          <w:sz w:val="24"/>
          <w:szCs w:val="24"/>
          <w:highlight w:val="none"/>
        </w:rPr>
        <w:t>年</w:t>
      </w:r>
      <w:r>
        <w:rPr>
          <w:rFonts w:hint="eastAsia" w:ascii="宋体" w:hAnsi="宋体" w:eastAsia="宋体" w:cs="Times New Roman"/>
          <w:color w:val="0C0C0C" w:themeColor="text1" w:themeTint="F2"/>
          <w:sz w:val="24"/>
          <w:szCs w:val="24"/>
          <w:highlight w:val="none"/>
          <w:lang w:val="en-US" w:eastAsia="zh-CN"/>
        </w:rPr>
        <w:t>11</w:t>
      </w:r>
      <w:r>
        <w:rPr>
          <w:rFonts w:hint="eastAsia" w:ascii="宋体" w:hAnsi="宋体" w:eastAsia="宋体" w:cs="Times New Roman"/>
          <w:color w:val="0C0C0C" w:themeColor="text1" w:themeTint="F2"/>
          <w:sz w:val="24"/>
          <w:szCs w:val="24"/>
          <w:highlight w:val="none"/>
        </w:rPr>
        <w:t>月</w:t>
      </w:r>
      <w:r>
        <w:rPr>
          <w:rFonts w:hint="eastAsia" w:ascii="宋体" w:hAnsi="宋体" w:eastAsia="宋体" w:cs="Times New Roman"/>
          <w:color w:val="0C0C0C" w:themeColor="text1" w:themeTint="F2"/>
          <w:sz w:val="24"/>
          <w:szCs w:val="24"/>
          <w:highlight w:val="none"/>
          <w:lang w:val="en-US" w:eastAsia="zh-CN"/>
        </w:rPr>
        <w:t>2</w:t>
      </w:r>
      <w:r>
        <w:rPr>
          <w:rFonts w:hint="eastAsia" w:ascii="宋体" w:hAnsi="宋体" w:eastAsia="宋体" w:cs="Times New Roman"/>
          <w:color w:val="0C0C0C" w:themeColor="text1" w:themeTint="F2"/>
          <w:sz w:val="24"/>
          <w:szCs w:val="24"/>
          <w:highlight w:val="none"/>
        </w:rPr>
        <w:t>日</w:t>
      </w:r>
      <w:r>
        <w:rPr>
          <w:rFonts w:hint="eastAsia" w:ascii="宋体" w:hAnsi="宋体" w:eastAsia="宋体" w:cs="Times New Roman"/>
          <w:color w:val="0C0C0C" w:themeColor="text1" w:themeTint="F2"/>
          <w:sz w:val="24"/>
          <w:szCs w:val="24"/>
          <w:highlight w:val="none"/>
          <w:lang w:val="en-US" w:eastAsia="zh-CN"/>
        </w:rPr>
        <w:t>15时00分</w:t>
      </w:r>
      <w:r>
        <w:rPr>
          <w:rFonts w:hint="eastAsia" w:ascii="宋体" w:hAnsi="宋体" w:eastAsia="宋体" w:cs="宋体"/>
          <w:color w:val="0C0C0C" w:themeColor="text1" w:themeTint="F2"/>
          <w:kern w:val="0"/>
          <w:sz w:val="24"/>
          <w:szCs w:val="24"/>
          <w:highlight w:val="none"/>
        </w:rPr>
        <w:t>（</w:t>
      </w:r>
      <w:r>
        <w:rPr>
          <w:rFonts w:hint="eastAsia" w:ascii="宋体" w:hAnsi="宋体" w:eastAsia="宋体" w:cs="宋体"/>
          <w:color w:val="0C0C0C" w:themeColor="text1" w:themeTint="F2"/>
          <w:kern w:val="0"/>
          <w:sz w:val="24"/>
          <w:szCs w:val="24"/>
          <w:highlight w:val="none"/>
          <w:lang w:val="en-US" w:eastAsia="zh-CN"/>
        </w:rPr>
        <w:t>14</w:t>
      </w:r>
      <w:r>
        <w:rPr>
          <w:rFonts w:hint="eastAsia" w:ascii="宋体" w:hAnsi="宋体" w:eastAsia="宋体" w:cs="宋体"/>
          <w:color w:val="0C0C0C" w:themeColor="text1" w:themeTint="F2"/>
          <w:kern w:val="0"/>
          <w:sz w:val="24"/>
          <w:szCs w:val="24"/>
          <w:highlight w:val="none"/>
        </w:rPr>
        <w:t>时</w:t>
      </w:r>
      <w:r>
        <w:rPr>
          <w:rFonts w:hint="eastAsia" w:ascii="宋体" w:hAnsi="宋体" w:eastAsia="宋体" w:cs="宋体"/>
          <w:color w:val="0C0C0C" w:themeColor="text1" w:themeTint="F2"/>
          <w:kern w:val="0"/>
          <w:sz w:val="24"/>
          <w:szCs w:val="24"/>
          <w:highlight w:val="none"/>
          <w:lang w:val="en-US" w:eastAsia="zh-CN"/>
        </w:rPr>
        <w:t>30</w:t>
      </w:r>
      <w:r>
        <w:rPr>
          <w:rFonts w:hint="eastAsia" w:ascii="宋体" w:hAnsi="宋体" w:eastAsia="宋体" w:cs="宋体"/>
          <w:color w:val="0C0C0C" w:themeColor="text1" w:themeTint="F2"/>
          <w:kern w:val="0"/>
          <w:sz w:val="24"/>
          <w:szCs w:val="24"/>
          <w:highlight w:val="none"/>
        </w:rPr>
        <w:t>分开始接</w:t>
      </w:r>
      <w:r>
        <w:rPr>
          <w:rFonts w:hint="eastAsia" w:ascii="宋体" w:hAnsi="宋体" w:eastAsia="宋体" w:cs="宋体"/>
          <w:color w:val="0C0C0C" w:themeColor="text1" w:themeTint="F2"/>
          <w:kern w:val="0"/>
          <w:sz w:val="24"/>
          <w:szCs w:val="24"/>
        </w:rPr>
        <w:t>收投标文件，拒收逾期送达或者未按招标文件要求密封的投标文件）。</w:t>
      </w:r>
    </w:p>
    <w:p>
      <w:pPr>
        <w:widowControl/>
        <w:spacing w:line="360" w:lineRule="auto"/>
        <w:ind w:firstLine="470" w:firstLineChars="196"/>
        <w:jc w:val="left"/>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rPr>
        <w:t>投标文件递交地点：阳新县公共资源交易中心</w:t>
      </w:r>
      <w:r>
        <w:rPr>
          <w:rFonts w:hint="eastAsia" w:ascii="宋体" w:hAnsi="宋体" w:eastAsia="宋体" w:cs="宋体"/>
          <w:color w:val="0C0C0C" w:themeColor="text1" w:themeTint="F2"/>
          <w:kern w:val="0"/>
          <w:sz w:val="24"/>
          <w:szCs w:val="24"/>
          <w:highlight w:val="none"/>
          <w:lang w:val="en-US" w:eastAsia="zh-CN"/>
        </w:rPr>
        <w:t>二</w:t>
      </w:r>
      <w:r>
        <w:rPr>
          <w:rFonts w:hint="eastAsia" w:ascii="宋体" w:hAnsi="宋体" w:eastAsia="宋体" w:cs="宋体"/>
          <w:color w:val="0C0C0C" w:themeColor="text1" w:themeTint="F2"/>
          <w:kern w:val="0"/>
          <w:sz w:val="24"/>
          <w:szCs w:val="24"/>
          <w:highlight w:val="none"/>
        </w:rPr>
        <w:t>楼</w:t>
      </w:r>
      <w:r>
        <w:rPr>
          <w:rFonts w:hint="eastAsia" w:ascii="宋体" w:hAnsi="宋体" w:eastAsia="宋体" w:cs="宋体"/>
          <w:color w:val="0C0C0C" w:themeColor="text1" w:themeTint="F2"/>
          <w:kern w:val="0"/>
          <w:sz w:val="24"/>
          <w:szCs w:val="24"/>
        </w:rPr>
        <w:t>开标大厅（阳新县熊家垴安置小区东侧）。</w:t>
      </w:r>
    </w:p>
    <w:p>
      <w:pPr>
        <w:widowControl/>
        <w:spacing w:line="357" w:lineRule="atLeast"/>
        <w:ind w:firstLine="480" w:firstLineChars="200"/>
        <w:textAlignment w:val="baseline"/>
        <w:rPr>
          <w:rFonts w:ascii="宋体" w:hAnsi="宋体" w:eastAsia="宋体" w:cs="宋体"/>
          <w:color w:val="0C0C0C" w:themeColor="text1" w:themeTint="F2"/>
          <w:kern w:val="0"/>
          <w:sz w:val="24"/>
          <w:szCs w:val="24"/>
        </w:rPr>
      </w:pPr>
      <w:r>
        <w:rPr>
          <w:rFonts w:hint="eastAsia" w:ascii="Times New Roman" w:hAnsi="Times New Roman" w:eastAsia="宋体" w:cs="宋体"/>
          <w:color w:val="0C0C0C" w:themeColor="text1" w:themeTint="F2"/>
          <w:sz w:val="24"/>
          <w:szCs w:val="24"/>
        </w:rPr>
        <w:t>届时请参加投标的授权代表携带有效身份证、法人身份证明书或法人委托授权书（原件）出席开标大会，否则视同认可开标结果。</w:t>
      </w:r>
    </w:p>
    <w:p>
      <w:pPr>
        <w:spacing w:line="360" w:lineRule="auto"/>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十一、开标信息：</w:t>
      </w:r>
    </w:p>
    <w:p>
      <w:pPr>
        <w:spacing w:line="360" w:lineRule="auto"/>
        <w:ind w:firstLine="470" w:firstLineChars="196"/>
        <w:rPr>
          <w:rFonts w:hint="default" w:ascii="宋体" w:hAnsi="宋体" w:eastAsia="宋体" w:cs="Times New Roman"/>
          <w:color w:val="0C0C0C" w:themeColor="text1" w:themeTint="F2"/>
          <w:sz w:val="24"/>
          <w:szCs w:val="24"/>
          <w:highlight w:val="none"/>
          <w:u w:val="single"/>
          <w:lang w:val="en-US" w:eastAsia="zh-CN"/>
        </w:rPr>
      </w:pPr>
      <w:r>
        <w:rPr>
          <w:rFonts w:hint="eastAsia" w:ascii="宋体" w:hAnsi="宋体" w:eastAsia="宋体" w:cs="宋体"/>
          <w:color w:val="0C0C0C" w:themeColor="text1" w:themeTint="F2"/>
          <w:kern w:val="0"/>
          <w:sz w:val="24"/>
          <w:szCs w:val="24"/>
        </w:rPr>
        <w:t>开标时间</w:t>
      </w:r>
      <w:r>
        <w:rPr>
          <w:rFonts w:hint="eastAsia" w:ascii="宋体" w:hAnsi="宋体" w:eastAsia="宋体" w:cs="宋体"/>
          <w:color w:val="0C0C0C" w:themeColor="text1" w:themeTint="F2"/>
          <w:kern w:val="0"/>
          <w:sz w:val="24"/>
          <w:szCs w:val="24"/>
          <w:highlight w:val="none"/>
        </w:rPr>
        <w:t>：2020</w:t>
      </w:r>
      <w:r>
        <w:rPr>
          <w:rFonts w:hint="eastAsia" w:ascii="宋体" w:hAnsi="宋体" w:eastAsia="宋体" w:cs="Times New Roman"/>
          <w:color w:val="0C0C0C" w:themeColor="text1" w:themeTint="F2"/>
          <w:sz w:val="24"/>
          <w:szCs w:val="24"/>
          <w:highlight w:val="none"/>
        </w:rPr>
        <w:t>年</w:t>
      </w:r>
      <w:r>
        <w:rPr>
          <w:rFonts w:hint="eastAsia" w:ascii="宋体" w:hAnsi="宋体" w:eastAsia="宋体" w:cs="Times New Roman"/>
          <w:color w:val="0C0C0C" w:themeColor="text1" w:themeTint="F2"/>
          <w:sz w:val="24"/>
          <w:szCs w:val="24"/>
          <w:highlight w:val="none"/>
          <w:lang w:val="en-US" w:eastAsia="zh-CN"/>
        </w:rPr>
        <w:t>11</w:t>
      </w:r>
      <w:r>
        <w:rPr>
          <w:rFonts w:hint="eastAsia" w:ascii="宋体" w:hAnsi="宋体" w:eastAsia="宋体" w:cs="Times New Roman"/>
          <w:color w:val="0C0C0C" w:themeColor="text1" w:themeTint="F2"/>
          <w:sz w:val="24"/>
          <w:szCs w:val="24"/>
          <w:highlight w:val="none"/>
        </w:rPr>
        <w:t>月</w:t>
      </w:r>
      <w:r>
        <w:rPr>
          <w:rFonts w:hint="eastAsia" w:ascii="宋体" w:hAnsi="宋体" w:eastAsia="宋体" w:cs="Times New Roman"/>
          <w:color w:val="0C0C0C" w:themeColor="text1" w:themeTint="F2"/>
          <w:sz w:val="24"/>
          <w:szCs w:val="24"/>
          <w:highlight w:val="none"/>
          <w:lang w:val="en-US" w:eastAsia="zh-CN"/>
        </w:rPr>
        <w:t>2</w:t>
      </w:r>
      <w:r>
        <w:rPr>
          <w:rFonts w:hint="eastAsia" w:ascii="宋体" w:hAnsi="宋体" w:eastAsia="宋体" w:cs="Times New Roman"/>
          <w:color w:val="0C0C0C" w:themeColor="text1" w:themeTint="F2"/>
          <w:sz w:val="24"/>
          <w:szCs w:val="24"/>
          <w:highlight w:val="none"/>
        </w:rPr>
        <w:t>日</w:t>
      </w:r>
      <w:r>
        <w:rPr>
          <w:rFonts w:hint="eastAsia" w:ascii="宋体" w:hAnsi="宋体" w:eastAsia="宋体" w:cs="Times New Roman"/>
          <w:color w:val="0C0C0C" w:themeColor="text1" w:themeTint="F2"/>
          <w:sz w:val="24"/>
          <w:szCs w:val="24"/>
          <w:highlight w:val="none"/>
          <w:lang w:val="en-US" w:eastAsia="zh-CN"/>
        </w:rPr>
        <w:t xml:space="preserve">15时00分  </w:t>
      </w:r>
    </w:p>
    <w:p>
      <w:pPr>
        <w:spacing w:line="360" w:lineRule="auto"/>
        <w:ind w:firstLine="470" w:firstLineChars="196"/>
        <w:rPr>
          <w:rFonts w:ascii="宋体" w:hAnsi="宋体" w:eastAsia="宋体" w:cs="宋体"/>
          <w:color w:val="0C0C0C" w:themeColor="text1" w:themeTint="F2"/>
          <w:kern w:val="0"/>
          <w:sz w:val="24"/>
          <w:szCs w:val="24"/>
        </w:rPr>
      </w:pPr>
      <w:r>
        <w:rPr>
          <w:rFonts w:hint="eastAsia" w:ascii="宋体" w:hAnsi="宋体" w:eastAsia="宋体" w:cs="宋体"/>
          <w:color w:val="0C0C0C" w:themeColor="text1" w:themeTint="F2"/>
          <w:kern w:val="0"/>
          <w:sz w:val="24"/>
          <w:szCs w:val="24"/>
          <w:highlight w:val="none"/>
        </w:rPr>
        <w:t>开标地点：阳新县公共资源交易中心</w:t>
      </w:r>
      <w:r>
        <w:rPr>
          <w:rFonts w:hint="eastAsia" w:ascii="宋体" w:hAnsi="宋体" w:eastAsia="宋体" w:cs="宋体"/>
          <w:color w:val="0C0C0C" w:themeColor="text1" w:themeTint="F2"/>
          <w:kern w:val="0"/>
          <w:sz w:val="24"/>
          <w:szCs w:val="24"/>
          <w:highlight w:val="none"/>
          <w:lang w:val="en-US" w:eastAsia="zh-CN"/>
        </w:rPr>
        <w:t>二</w:t>
      </w:r>
      <w:r>
        <w:rPr>
          <w:rFonts w:hint="eastAsia" w:ascii="宋体" w:hAnsi="宋体" w:eastAsia="宋体" w:cs="宋体"/>
          <w:color w:val="0C0C0C" w:themeColor="text1" w:themeTint="F2"/>
          <w:kern w:val="0"/>
          <w:sz w:val="24"/>
          <w:szCs w:val="24"/>
          <w:highlight w:val="none"/>
        </w:rPr>
        <w:t>楼</w:t>
      </w:r>
      <w:r>
        <w:rPr>
          <w:rFonts w:hint="eastAsia" w:ascii="宋体" w:hAnsi="宋体" w:eastAsia="宋体" w:cs="宋体"/>
          <w:color w:val="0C0C0C" w:themeColor="text1" w:themeTint="F2"/>
          <w:kern w:val="0"/>
          <w:sz w:val="24"/>
          <w:szCs w:val="24"/>
        </w:rPr>
        <w:t>开标大厅（阳新县熊家垴安置小区东侧）</w:t>
      </w:r>
    </w:p>
    <w:p>
      <w:pPr>
        <w:spacing w:line="360" w:lineRule="auto"/>
        <w:rPr>
          <w:rFonts w:ascii="宋体" w:hAnsi="宋体" w:eastAsia="宋体" w:cs="Times New Roman"/>
          <w:color w:val="0C0C0C" w:themeColor="text1" w:themeTint="F2"/>
          <w:sz w:val="24"/>
          <w:szCs w:val="24"/>
        </w:rPr>
      </w:pPr>
      <w:r>
        <w:rPr>
          <w:rFonts w:hint="eastAsia" w:ascii="宋体" w:hAnsi="宋体" w:eastAsia="宋体" w:cs="宋体"/>
          <w:b/>
          <w:color w:val="0C0C0C" w:themeColor="text1" w:themeTint="F2"/>
          <w:kern w:val="0"/>
          <w:sz w:val="24"/>
          <w:szCs w:val="24"/>
          <w:lang w:val="zh-CN"/>
        </w:rPr>
        <w:t>十二、公告期限：</w:t>
      </w:r>
      <w:r>
        <w:rPr>
          <w:rFonts w:hint="eastAsia" w:ascii="宋体" w:hAnsi="宋体" w:eastAsia="宋体" w:cs="Times New Roman"/>
          <w:color w:val="0C0C0C" w:themeColor="text1" w:themeTint="F2"/>
          <w:sz w:val="24"/>
          <w:szCs w:val="24"/>
        </w:rPr>
        <w:t>自公告发布之日起5个工作日。</w:t>
      </w:r>
    </w:p>
    <w:p>
      <w:pPr>
        <w:spacing w:line="360" w:lineRule="auto"/>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rPr>
        <w:t>十三、</w:t>
      </w:r>
      <w:r>
        <w:rPr>
          <w:rFonts w:hint="eastAsia" w:ascii="宋体" w:hAnsi="宋体" w:eastAsia="宋体" w:cs="宋体"/>
          <w:b/>
          <w:color w:val="0C0C0C" w:themeColor="text1" w:themeTint="F2"/>
          <w:kern w:val="0"/>
          <w:sz w:val="24"/>
          <w:szCs w:val="24"/>
          <w:lang w:val="zh-CN"/>
        </w:rPr>
        <w:t>质疑：</w:t>
      </w:r>
    </w:p>
    <w:p>
      <w:pPr>
        <w:spacing w:line="360" w:lineRule="auto"/>
        <w:ind w:firstLine="480" w:firstLineChars="200"/>
        <w:rPr>
          <w:rFonts w:ascii="宋体" w:hAnsi="宋体" w:eastAsia="宋体" w:cs="宋体"/>
          <w:b/>
          <w:color w:val="0C0C0C" w:themeColor="text1" w:themeTint="F2"/>
          <w:kern w:val="0"/>
          <w:sz w:val="24"/>
          <w:szCs w:val="24"/>
          <w:lang w:val="zh-CN"/>
        </w:rPr>
      </w:pPr>
      <w:r>
        <w:rPr>
          <w:rFonts w:hint="eastAsia" w:ascii="宋体" w:hAnsi="宋体" w:eastAsia="宋体" w:cs="宋体"/>
          <w:color w:val="0C0C0C" w:themeColor="text1" w:themeTint="F2"/>
          <w:kern w:val="0"/>
          <w:sz w:val="24"/>
          <w:szCs w:val="24"/>
          <w:lang w:val="zh-CN"/>
        </w:rPr>
        <w:t>投标人认为招标文件、招标过程和中标结果使自己的权益受到损害的，可以在知道或者应知其权益受到损害之日起7个工作日内，向提出</w:t>
      </w:r>
      <w:r>
        <w:rPr>
          <w:rFonts w:hint="eastAsia" w:cs="宋体"/>
          <w:color w:val="0C0C0C" w:themeColor="text1" w:themeTint="F2"/>
          <w:kern w:val="0"/>
          <w:sz w:val="24"/>
          <w:szCs w:val="24"/>
          <w:lang w:val="zh-CN"/>
        </w:rPr>
        <w:t>书面</w:t>
      </w:r>
      <w:r>
        <w:rPr>
          <w:rFonts w:hint="eastAsia" w:ascii="宋体" w:hAnsi="宋体" w:eastAsia="宋体" w:cs="宋体"/>
          <w:color w:val="0C0C0C" w:themeColor="text1" w:themeTint="F2"/>
          <w:kern w:val="0"/>
          <w:sz w:val="24"/>
          <w:szCs w:val="24"/>
          <w:lang w:val="zh-CN"/>
        </w:rPr>
        <w:t>质疑。</w:t>
      </w:r>
      <w:r>
        <w:rPr>
          <w:rFonts w:hint="eastAsia" w:ascii="宋体" w:hAnsi="宋体" w:eastAsia="宋体" w:cs="宋体"/>
          <w:color w:val="0C0C0C" w:themeColor="text1" w:themeTint="F2"/>
          <w:kern w:val="0"/>
          <w:sz w:val="24"/>
          <w:szCs w:val="24"/>
        </w:rPr>
        <w:t>质疑时请提交书面质疑函一份（法人代表签字、加盖单位公章。具体要求详见本招标文件“第二章 投标人须知”中的第八条之规定），并附相关证据材料。</w:t>
      </w:r>
    </w:p>
    <w:p>
      <w:pPr>
        <w:spacing w:line="360" w:lineRule="auto"/>
        <w:rPr>
          <w:rFonts w:ascii="宋体" w:hAnsi="宋体" w:eastAsia="宋体" w:cs="宋体"/>
          <w:b/>
          <w:color w:val="0C0C0C" w:themeColor="text1" w:themeTint="F2"/>
          <w:kern w:val="0"/>
          <w:sz w:val="24"/>
          <w:szCs w:val="24"/>
          <w:lang w:val="zh-CN"/>
        </w:rPr>
      </w:pPr>
      <w:r>
        <w:rPr>
          <w:rFonts w:hint="eastAsia" w:ascii="宋体" w:hAnsi="宋体" w:eastAsia="宋体" w:cs="宋体"/>
          <w:b/>
          <w:color w:val="0C0C0C" w:themeColor="text1" w:themeTint="F2"/>
          <w:kern w:val="0"/>
          <w:sz w:val="24"/>
          <w:szCs w:val="24"/>
          <w:lang w:val="zh-CN"/>
        </w:rPr>
        <w:t>十四、联系方式：</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lang w:val="en-US" w:eastAsia="zh-CN"/>
        </w:rPr>
        <w:t>1.</w:t>
      </w:r>
      <w:r>
        <w:rPr>
          <w:rFonts w:hint="eastAsia" w:ascii="宋体" w:hAnsi="宋体" w:eastAsia="宋体" w:cs="宋体"/>
          <w:bCs/>
          <w:color w:val="0C0C0C" w:themeColor="text1" w:themeTint="F2"/>
          <w:kern w:val="0"/>
          <w:sz w:val="24"/>
          <w:szCs w:val="24"/>
        </w:rPr>
        <w:t>采购</w:t>
      </w:r>
      <w:r>
        <w:rPr>
          <w:rFonts w:hint="eastAsia" w:ascii="宋体" w:hAnsi="宋体" w:eastAsia="宋体" w:cs="宋体"/>
          <w:bCs/>
          <w:color w:val="0C0C0C" w:themeColor="text1" w:themeTint="F2"/>
          <w:kern w:val="0"/>
          <w:sz w:val="24"/>
          <w:szCs w:val="24"/>
          <w:lang w:val="en-US" w:eastAsia="zh-CN"/>
        </w:rPr>
        <w:t>代理</w:t>
      </w:r>
      <w:r>
        <w:rPr>
          <w:rFonts w:hint="eastAsia" w:ascii="宋体" w:hAnsi="宋体" w:eastAsia="宋体" w:cs="宋体"/>
          <w:bCs/>
          <w:color w:val="0C0C0C" w:themeColor="text1" w:themeTint="F2"/>
          <w:kern w:val="0"/>
          <w:sz w:val="24"/>
          <w:szCs w:val="24"/>
        </w:rPr>
        <w:t>机构：武汉富纳工程咨询有限公司</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联系人：吴克亮、乐之琳</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联系电话：</w:t>
      </w:r>
      <w:r>
        <w:rPr>
          <w:rFonts w:ascii="宋体" w:hAnsi="宋体" w:eastAsia="宋体" w:cs="宋体"/>
          <w:bCs/>
          <w:color w:val="0C0C0C" w:themeColor="text1" w:themeTint="F2"/>
          <w:kern w:val="0"/>
          <w:sz w:val="24"/>
          <w:szCs w:val="24"/>
        </w:rPr>
        <w:t>0714-7313868</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地址：阳新县熊家垴小区1栋2903室</w:t>
      </w:r>
    </w:p>
    <w:p>
      <w:pPr>
        <w:spacing w:line="480" w:lineRule="auto"/>
        <w:ind w:firstLine="480" w:firstLineChars="200"/>
        <w:rPr>
          <w:rFonts w:ascii="宋体" w:hAnsi="宋体" w:eastAsia="宋体" w:cs="Times New Roman"/>
          <w:color w:val="0C0C0C" w:themeColor="text1" w:themeTint="F2"/>
          <w:sz w:val="24"/>
          <w:szCs w:val="24"/>
        </w:rPr>
      </w:pPr>
      <w:r>
        <w:rPr>
          <w:rFonts w:hint="eastAsia" w:ascii="宋体" w:hAnsi="宋体" w:eastAsia="宋体" w:cs="宋体"/>
          <w:bCs/>
          <w:color w:val="0C0C0C" w:themeColor="text1" w:themeTint="F2"/>
          <w:kern w:val="0"/>
          <w:sz w:val="24"/>
          <w:szCs w:val="24"/>
          <w:lang w:val="en-US" w:eastAsia="zh-CN"/>
        </w:rPr>
        <w:t>2.</w:t>
      </w:r>
      <w:r>
        <w:rPr>
          <w:rFonts w:hint="eastAsia" w:ascii="宋体" w:hAnsi="宋体" w:eastAsia="宋体" w:cs="宋体"/>
          <w:bCs/>
          <w:color w:val="0C0C0C" w:themeColor="text1" w:themeTint="F2"/>
          <w:kern w:val="0"/>
          <w:sz w:val="24"/>
          <w:szCs w:val="24"/>
        </w:rPr>
        <w:t>采购人：</w:t>
      </w:r>
      <w:r>
        <w:rPr>
          <w:rFonts w:hint="eastAsia" w:ascii="宋体" w:hAnsi="宋体" w:eastAsia="宋体" w:cs="Times New Roman"/>
          <w:color w:val="0C0C0C" w:themeColor="text1" w:themeTint="F2"/>
          <w:sz w:val="24"/>
          <w:szCs w:val="24"/>
        </w:rPr>
        <w:t>黄石新港（物流）工业园区经济发展局</w:t>
      </w:r>
    </w:p>
    <w:p>
      <w:pPr>
        <w:widowControl/>
        <w:spacing w:line="360" w:lineRule="auto"/>
        <w:ind w:firstLine="480"/>
        <w:jc w:val="left"/>
        <w:rPr>
          <w:rFonts w:ascii="宋体" w:hAnsi="宋体" w:eastAsia="宋体" w:cs="宋体"/>
          <w:bCs/>
          <w:color w:val="0C0C0C" w:themeColor="text1" w:themeTint="F2"/>
          <w:kern w:val="0"/>
          <w:sz w:val="24"/>
          <w:szCs w:val="24"/>
        </w:rPr>
      </w:pPr>
      <w:r>
        <w:rPr>
          <w:rFonts w:hint="eastAsia" w:ascii="宋体" w:hAnsi="宋体" w:eastAsia="宋体" w:cs="宋体"/>
          <w:bCs/>
          <w:color w:val="0C0C0C" w:themeColor="text1" w:themeTint="F2"/>
          <w:kern w:val="0"/>
          <w:sz w:val="24"/>
          <w:szCs w:val="24"/>
        </w:rPr>
        <w:t>联系人：</w:t>
      </w:r>
      <w:r>
        <w:rPr>
          <w:rFonts w:hint="eastAsia" w:ascii="宋体" w:hAnsi="宋体" w:eastAsia="宋体" w:cs="Times New Roman"/>
          <w:color w:val="0C0C0C" w:themeColor="text1" w:themeTint="F2"/>
          <w:sz w:val="24"/>
          <w:szCs w:val="24"/>
        </w:rPr>
        <w:t>冯曼玲</w:t>
      </w:r>
      <w:r>
        <w:rPr>
          <w:rFonts w:hint="eastAsia" w:ascii="宋体" w:hAnsi="宋体" w:eastAsia="宋体" w:cs="宋体"/>
          <w:bCs/>
          <w:color w:val="0C0C0C" w:themeColor="text1" w:themeTint="F2"/>
          <w:kern w:val="0"/>
          <w:sz w:val="24"/>
          <w:szCs w:val="24"/>
        </w:rPr>
        <w:t xml:space="preserve"> </w:t>
      </w:r>
    </w:p>
    <w:p>
      <w:pPr>
        <w:widowControl/>
        <w:spacing w:line="360" w:lineRule="auto"/>
        <w:ind w:firstLine="480"/>
        <w:jc w:val="left"/>
        <w:rPr>
          <w:rFonts w:ascii="宋体" w:hAnsi="宋体" w:eastAsia="宋体" w:cs="Times New Roman"/>
          <w:color w:val="0C0C0C" w:themeColor="text1" w:themeTint="F2"/>
          <w:sz w:val="24"/>
          <w:szCs w:val="24"/>
          <w:highlight w:val="none"/>
        </w:rPr>
      </w:pPr>
      <w:r>
        <w:rPr>
          <w:rFonts w:hint="eastAsia" w:ascii="宋体" w:hAnsi="宋体" w:eastAsia="宋体" w:cs="宋体"/>
          <w:bCs/>
          <w:color w:val="0C0C0C" w:themeColor="text1" w:themeTint="F2"/>
          <w:kern w:val="0"/>
          <w:sz w:val="24"/>
          <w:szCs w:val="24"/>
          <w:highlight w:val="none"/>
        </w:rPr>
        <w:t>联系电话：</w:t>
      </w:r>
      <w:r>
        <w:rPr>
          <w:rFonts w:hint="eastAsia" w:ascii="宋体" w:hAnsi="宋体" w:eastAsia="宋体" w:cs="Times New Roman"/>
          <w:color w:val="0C0C0C" w:themeColor="text1" w:themeTint="F2"/>
          <w:sz w:val="24"/>
          <w:szCs w:val="24"/>
          <w:highlight w:val="none"/>
        </w:rPr>
        <w:t>0714-7893282</w:t>
      </w:r>
    </w:p>
    <w:p>
      <w:pPr>
        <w:widowControl/>
        <w:spacing w:line="360" w:lineRule="auto"/>
        <w:ind w:firstLine="480" w:firstLineChars="200"/>
        <w:jc w:val="left"/>
        <w:rPr>
          <w:rFonts w:ascii="宋体" w:hAnsi="宋体" w:eastAsia="宋体" w:cs="宋体"/>
          <w:bCs/>
          <w:color w:val="0C0C0C" w:themeColor="text1" w:themeTint="F2"/>
          <w:kern w:val="0"/>
          <w:sz w:val="24"/>
          <w:szCs w:val="24"/>
          <w:highlight w:val="yellow"/>
        </w:rPr>
      </w:pPr>
      <w:r>
        <w:rPr>
          <w:rFonts w:hint="eastAsia" w:ascii="宋体" w:hAnsi="宋体" w:eastAsia="宋体" w:cs="宋体"/>
          <w:bCs/>
          <w:color w:val="0C0C0C" w:themeColor="text1" w:themeTint="F2"/>
          <w:kern w:val="0"/>
          <w:sz w:val="24"/>
          <w:szCs w:val="24"/>
        </w:rPr>
        <w:t>地址：黄石市</w:t>
      </w:r>
      <w:r>
        <w:rPr>
          <w:rFonts w:ascii="宋体" w:hAnsi="宋体" w:eastAsia="宋体" w:cs="宋体"/>
          <w:sz w:val="24"/>
          <w:szCs w:val="24"/>
        </w:rPr>
        <w:t>阳新县韦源口镇黄石新港（物流）工业园区兴韦大道科技创业园A栋</w:t>
      </w:r>
    </w:p>
    <w:p>
      <w:pPr>
        <w:widowControl/>
        <w:spacing w:line="360" w:lineRule="auto"/>
        <w:ind w:firstLine="480"/>
        <w:jc w:val="left"/>
        <w:rPr>
          <w:rFonts w:ascii="宋体" w:hAnsi="宋体" w:eastAsia="宋体" w:cs="宋体"/>
          <w:bCs/>
          <w:color w:val="0C0C0C" w:themeColor="text1" w:themeTint="F2"/>
          <w:kern w:val="0"/>
          <w:sz w:val="24"/>
          <w:szCs w:val="24"/>
          <w:highlight w:val="yellow"/>
        </w:rPr>
      </w:pPr>
    </w:p>
    <w:p>
      <w:pPr>
        <w:widowControl/>
        <w:spacing w:line="360" w:lineRule="auto"/>
        <w:jc w:val="left"/>
        <w:rPr>
          <w:rFonts w:hint="eastAsia" w:ascii="宋体" w:hAnsi="宋体" w:eastAsia="宋体" w:cs="Times New Roman"/>
          <w:color w:val="0C0C0C" w:themeColor="text1" w:themeTint="F2"/>
          <w:sz w:val="24"/>
          <w:szCs w:val="24"/>
          <w:lang w:val="zh-CN"/>
        </w:rPr>
      </w:pPr>
      <w:r>
        <w:rPr>
          <w:rFonts w:hint="eastAsia" w:ascii="宋体" w:hAnsi="宋体" w:eastAsia="宋体" w:cs="Times New Roman"/>
          <w:b/>
          <w:color w:val="0C0C0C" w:themeColor="text1" w:themeTint="F2"/>
          <w:sz w:val="28"/>
          <w:szCs w:val="28"/>
          <w:lang w:val="zh-CN"/>
        </w:rPr>
        <w:t xml:space="preserve">                                         </w:t>
      </w:r>
      <w:r>
        <w:rPr>
          <w:rFonts w:hint="eastAsia" w:ascii="宋体" w:hAnsi="宋体" w:eastAsia="宋体" w:cs="Times New Roman"/>
          <w:b/>
          <w:color w:val="0C0C0C" w:themeColor="text1" w:themeTint="F2"/>
          <w:sz w:val="28"/>
          <w:szCs w:val="28"/>
        </w:rPr>
        <w:t xml:space="preserve">          </w:t>
      </w:r>
      <w:r>
        <w:rPr>
          <w:rFonts w:hint="eastAsia" w:ascii="宋体" w:hAnsi="宋体" w:eastAsia="宋体" w:cs="Times New Roman"/>
          <w:color w:val="0C0C0C" w:themeColor="text1" w:themeTint="F2"/>
          <w:sz w:val="24"/>
          <w:szCs w:val="24"/>
          <w:highlight w:val="none"/>
          <w:lang w:val="zh-CN"/>
        </w:rPr>
        <w:t>2</w:t>
      </w:r>
      <w:r>
        <w:rPr>
          <w:rFonts w:hint="eastAsia" w:ascii="宋体" w:hAnsi="宋体" w:eastAsia="宋体" w:cs="Times New Roman"/>
          <w:color w:val="0C0C0C" w:themeColor="text1" w:themeTint="F2"/>
          <w:sz w:val="24"/>
          <w:szCs w:val="24"/>
          <w:lang w:val="zh-CN"/>
        </w:rPr>
        <w:t>020年</w:t>
      </w:r>
      <w:r>
        <w:rPr>
          <w:rFonts w:hint="eastAsia" w:ascii="宋体" w:hAnsi="宋体" w:eastAsia="宋体" w:cs="Times New Roman"/>
          <w:color w:val="0C0C0C" w:themeColor="text1" w:themeTint="F2"/>
          <w:sz w:val="24"/>
          <w:szCs w:val="24"/>
          <w:lang w:val="en-US" w:eastAsia="zh-CN"/>
        </w:rPr>
        <w:t>10</w:t>
      </w:r>
      <w:r>
        <w:rPr>
          <w:rFonts w:hint="eastAsia" w:ascii="宋体" w:hAnsi="宋体" w:eastAsia="宋体" w:cs="Times New Roman"/>
          <w:color w:val="0C0C0C" w:themeColor="text1" w:themeTint="F2"/>
          <w:sz w:val="24"/>
          <w:szCs w:val="24"/>
          <w:lang w:val="zh-CN"/>
        </w:rPr>
        <w:t>月</w:t>
      </w:r>
      <w:r>
        <w:rPr>
          <w:rFonts w:hint="eastAsia" w:ascii="宋体" w:hAnsi="宋体" w:eastAsia="宋体" w:cs="Times New Roman"/>
          <w:color w:val="0C0C0C" w:themeColor="text1" w:themeTint="F2"/>
          <w:sz w:val="24"/>
          <w:szCs w:val="24"/>
          <w:lang w:val="en-US" w:eastAsia="zh-CN"/>
        </w:rPr>
        <w:t>10</w:t>
      </w:r>
      <w:r>
        <w:rPr>
          <w:rFonts w:hint="eastAsia" w:ascii="宋体" w:hAnsi="宋体" w:eastAsia="宋体" w:cs="Times New Roman"/>
          <w:color w:val="0C0C0C" w:themeColor="text1" w:themeTint="F2"/>
          <w:sz w:val="24"/>
          <w:szCs w:val="24"/>
          <w:lang w:val="zh-CN"/>
        </w:rPr>
        <w:t>日</w:t>
      </w:r>
    </w:p>
    <w:p>
      <w:pPr>
        <w:widowControl/>
        <w:spacing w:line="360" w:lineRule="auto"/>
        <w:jc w:val="left"/>
        <w:rPr>
          <w:rFonts w:ascii="宋体" w:hAnsi="宋体" w:eastAsia="宋体" w:cs="Times New Roman"/>
          <w:b/>
          <w:color w:val="0C0C0C" w:themeColor="text1" w:themeTint="F2"/>
          <w:sz w:val="28"/>
          <w:szCs w:val="28"/>
          <w:lang w:val="zh-CN"/>
        </w:rPr>
      </w:pPr>
    </w:p>
    <w:p>
      <w:pPr>
        <w:widowControl/>
        <w:spacing w:line="360" w:lineRule="auto"/>
        <w:jc w:val="left"/>
        <w:rPr>
          <w:color w:val="0C0C0C" w:themeColor="text1" w:themeTint="F2"/>
        </w:rPr>
      </w:pPr>
    </w:p>
    <w:p>
      <w:pPr>
        <w:pStyle w:val="2"/>
        <w:numPr>
          <w:ilvl w:val="0"/>
          <w:numId w:val="1"/>
        </w:numPr>
        <w:spacing w:before="240" w:after="120"/>
        <w:ind w:left="883" w:hanging="880" w:hangingChars="200"/>
        <w:jc w:val="center"/>
        <w:rPr>
          <w:rFonts w:ascii="黑体" w:hAnsi="黑体" w:eastAsia="黑体"/>
        </w:rPr>
      </w:pPr>
      <w:bookmarkStart w:id="1" w:name="_Toc48230882"/>
      <w:r>
        <w:rPr>
          <w:rFonts w:hint="eastAsia" w:ascii="黑体" w:hAnsi="黑体" w:eastAsia="黑体"/>
        </w:rPr>
        <w:t>投标人须知</w:t>
      </w:r>
      <w:bookmarkEnd w:id="1"/>
    </w:p>
    <w:p>
      <w:pPr>
        <w:keepNext/>
        <w:keepLines/>
        <w:spacing w:line="360" w:lineRule="auto"/>
        <w:jc w:val="center"/>
        <w:outlineLvl w:val="1"/>
        <w:rPr>
          <w:rFonts w:cs="Times New Roman" w:asciiTheme="majorEastAsia" w:hAnsiTheme="majorEastAsia" w:eastAsiaTheme="majorEastAsia"/>
          <w:b/>
          <w:bCs/>
          <w:sz w:val="32"/>
          <w:szCs w:val="32"/>
          <w:lang w:val="zh-CN"/>
        </w:rPr>
      </w:pPr>
      <w:bookmarkStart w:id="2" w:name="_Toc48230883"/>
      <w:bookmarkStart w:id="3" w:name="_Toc494561937"/>
      <w:r>
        <w:rPr>
          <w:rFonts w:cs="Times New Roman" w:asciiTheme="majorEastAsia" w:hAnsiTheme="majorEastAsia" w:eastAsiaTheme="majorEastAsia"/>
          <w:b/>
          <w:bCs/>
          <w:sz w:val="32"/>
          <w:szCs w:val="32"/>
          <w:lang w:val="zh-CN"/>
        </w:rPr>
        <w:t>投标须知前附表</w:t>
      </w:r>
      <w:bookmarkEnd w:id="2"/>
      <w:bookmarkEnd w:id="3"/>
    </w:p>
    <w:tbl>
      <w:tblPr>
        <w:tblStyle w:val="16"/>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2" w:leftChars="-25" w:right="-27" w:rightChars="-13"/>
              <w:jc w:val="center"/>
              <w:rPr>
                <w:rFonts w:ascii="宋体" w:hAnsi="宋体" w:eastAsia="宋体" w:cs="Times New Roman"/>
                <w:b/>
                <w:sz w:val="24"/>
                <w:szCs w:val="24"/>
              </w:rPr>
            </w:pPr>
            <w:r>
              <w:rPr>
                <w:rFonts w:ascii="宋体" w:hAnsi="宋体" w:eastAsia="宋体" w:cs="Times New Roman"/>
                <w:b/>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sz w:val="24"/>
                <w:szCs w:val="24"/>
              </w:rPr>
            </w:pPr>
            <w:r>
              <w:rPr>
                <w:rFonts w:hint="eastAsia" w:ascii="Times New Roman" w:hAnsi="宋体" w:eastAsia="宋体" w:cs="Times New Roman"/>
                <w:b/>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2" w:firstLineChars="201"/>
              <w:jc w:val="center"/>
              <w:rPr>
                <w:rFonts w:ascii="Times New Roman" w:hAnsi="Times New Roman" w:eastAsia="宋体" w:cs="Times New Roman"/>
                <w:b/>
                <w:sz w:val="24"/>
                <w:szCs w:val="24"/>
              </w:rPr>
            </w:pPr>
            <w:r>
              <w:rPr>
                <w:rFonts w:ascii="Times New Roman" w:hAnsi="宋体" w:eastAsia="宋体" w:cs="Times New Roman"/>
                <w:b/>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highlight w:val="none"/>
              </w:rPr>
              <w:t>项目编号</w:t>
            </w:r>
          </w:p>
        </w:tc>
        <w:tc>
          <w:tcPr>
            <w:tcW w:w="6470" w:type="dxa"/>
            <w:tcBorders>
              <w:top w:val="single" w:color="auto" w:sz="4" w:space="0"/>
              <w:left w:val="single" w:color="auto" w:sz="4" w:space="0"/>
              <w:bottom w:val="single" w:color="auto" w:sz="4" w:space="0"/>
            </w:tcBorders>
            <w:vAlign w:val="center"/>
          </w:tcPr>
          <w:p>
            <w:pPr>
              <w:jc w:val="center"/>
              <w:rPr>
                <w:rFonts w:hint="eastAsia" w:ascii="Times New Roman" w:hAnsi="Times New Roman" w:eastAsia="宋体" w:cs="Times New Roman"/>
                <w:color w:val="FF0000"/>
                <w:sz w:val="24"/>
                <w:szCs w:val="24"/>
                <w:lang w:eastAsia="zh-CN"/>
              </w:rPr>
            </w:pPr>
            <w:r>
              <w:rPr>
                <w:rFonts w:hint="eastAsia" w:ascii="宋体" w:hAnsi="宋体" w:eastAsia="宋体" w:cs="Times New Roman"/>
                <w:b w:val="0"/>
                <w:bCs/>
                <w:color w:val="0C0C0C" w:themeColor="text1" w:themeTint="F2"/>
                <w:sz w:val="24"/>
                <w:szCs w:val="24"/>
                <w:highlight w:val="none"/>
                <w:lang w:val="en-US" w:eastAsia="zh-CN"/>
              </w:rPr>
              <w:t>131-2020CG-201</w:t>
            </w:r>
            <w:r>
              <w:rPr>
                <w:rFonts w:hint="eastAsia" w:ascii="Times New Roman" w:hAnsi="Times New Roman" w:eastAsia="宋体" w:cs="Times New Roman"/>
                <w:color w:val="FF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yellow"/>
              </w:rPr>
            </w:pPr>
            <w:r>
              <w:rPr>
                <w:rFonts w:ascii="Times New Roman" w:hAnsi="宋体" w:eastAsia="宋体" w:cs="Times New Roman"/>
                <w:sz w:val="24"/>
                <w:szCs w:val="24"/>
              </w:rPr>
              <w:t>项目名称</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FF0000"/>
                <w:sz w:val="24"/>
                <w:szCs w:val="24"/>
                <w:highlight w:val="yellow"/>
              </w:rPr>
            </w:pPr>
            <w:r>
              <w:rPr>
                <w:rFonts w:hint="eastAsia" w:ascii="宋体" w:hAnsi="宋体" w:eastAsia="宋体" w:cs="Times New Roman"/>
                <w:color w:val="FF0000"/>
                <w:sz w:val="24"/>
                <w:szCs w:val="24"/>
              </w:rPr>
              <w:t>湖北阳新经济开发区总体规划（2019-2030年）（调整）环评项目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项目属性</w:t>
            </w:r>
          </w:p>
        </w:tc>
        <w:tc>
          <w:tcPr>
            <w:tcW w:w="6470" w:type="dxa"/>
            <w:tcBorders>
              <w:top w:val="single" w:color="auto" w:sz="4" w:space="0"/>
              <w:left w:val="single" w:color="auto" w:sz="4" w:space="0"/>
              <w:bottom w:val="single" w:color="auto" w:sz="4" w:space="0"/>
            </w:tcBorders>
            <w:vAlign w:val="center"/>
          </w:tcPr>
          <w:p>
            <w:pPr>
              <w:jc w:val="center"/>
              <w:rPr>
                <w:rFonts w:ascii="宋体" w:hAnsi="宋体" w:eastAsia="宋体" w:cs="宋体"/>
                <w:color w:val="FF0000"/>
                <w:kern w:val="0"/>
                <w:sz w:val="24"/>
                <w:szCs w:val="24"/>
              </w:rPr>
            </w:pPr>
            <w:r>
              <w:rPr>
                <w:rFonts w:hint="eastAsia" w:ascii="宋体" w:hAnsi="宋体" w:eastAsia="宋体" w:cs="宋体"/>
                <w:color w:val="FF0000"/>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highlight w:val="red"/>
              </w:rPr>
            </w:pPr>
            <w:r>
              <w:rPr>
                <w:rFonts w:ascii="Times New Roman" w:hAnsi="宋体" w:eastAsia="宋体" w:cs="Times New Roman"/>
                <w:sz w:val="24"/>
                <w:szCs w:val="24"/>
              </w:rPr>
              <w:t>采购人</w:t>
            </w:r>
          </w:p>
        </w:tc>
        <w:tc>
          <w:tcPr>
            <w:tcW w:w="6470" w:type="dxa"/>
            <w:tcBorders>
              <w:top w:val="single" w:color="auto" w:sz="4" w:space="0"/>
              <w:left w:val="single" w:color="auto" w:sz="4" w:space="0"/>
              <w:bottom w:val="single" w:color="auto" w:sz="4" w:space="0"/>
            </w:tcBorders>
            <w:vAlign w:val="center"/>
          </w:tcPr>
          <w:p>
            <w:pPr>
              <w:jc w:val="center"/>
              <w:rPr>
                <w:rFonts w:ascii="宋体" w:hAnsi="宋体" w:eastAsia="宋体" w:cs="宋体"/>
                <w:color w:val="FF0000"/>
                <w:kern w:val="0"/>
                <w:sz w:val="24"/>
                <w:szCs w:val="24"/>
                <w:highlight w:val="red"/>
              </w:rPr>
            </w:pPr>
            <w:r>
              <w:rPr>
                <w:rFonts w:hint="eastAsia" w:ascii="宋体" w:hAnsi="宋体" w:eastAsia="宋体" w:cs="Times New Roman"/>
                <w:color w:val="FF0000"/>
                <w:sz w:val="24"/>
                <w:szCs w:val="24"/>
              </w:rPr>
              <w:t>黄石新港（物流）工业园区经济发展局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投标保证金</w:t>
            </w:r>
          </w:p>
        </w:tc>
        <w:tc>
          <w:tcPr>
            <w:tcW w:w="6470" w:type="dxa"/>
            <w:tcBorders>
              <w:top w:val="single" w:color="auto" w:sz="4" w:space="0"/>
              <w:left w:val="single" w:color="auto" w:sz="4" w:space="0"/>
              <w:bottom w:val="single" w:color="auto" w:sz="4" w:space="0"/>
            </w:tcBorders>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本项目为政府采购项目无须缴纳保证金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保证金</w:t>
            </w:r>
            <w:r>
              <w:rPr>
                <w:rFonts w:hint="eastAsia" w:ascii="Times New Roman" w:hAnsi="宋体" w:eastAsia="宋体" w:cs="Times New Roman"/>
                <w:sz w:val="24"/>
                <w:szCs w:val="24"/>
              </w:rPr>
              <w:t>账户信息</w:t>
            </w:r>
          </w:p>
        </w:tc>
        <w:tc>
          <w:tcPr>
            <w:tcW w:w="6470" w:type="dxa"/>
            <w:tcBorders>
              <w:top w:val="single" w:color="auto" w:sz="4" w:space="0"/>
              <w:left w:val="single" w:color="auto" w:sz="4" w:space="0"/>
              <w:bottom w:val="single" w:color="auto" w:sz="4" w:space="0"/>
            </w:tcBorders>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投标文件份数</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正本</w:t>
            </w:r>
            <w:r>
              <w:rPr>
                <w:rFonts w:hint="eastAsia" w:ascii="Times New Roman" w:hAnsi="Times New Roman" w:eastAsia="宋体" w:cs="Times New Roman"/>
                <w:sz w:val="24"/>
                <w:szCs w:val="24"/>
              </w:rPr>
              <w:t>一</w:t>
            </w:r>
            <w:r>
              <w:rPr>
                <w:rFonts w:ascii="Times New Roman" w:hAnsi="Times New Roman" w:eastAsia="宋体" w:cs="Times New Roman"/>
                <w:sz w:val="24"/>
                <w:szCs w:val="24"/>
              </w:rPr>
              <w:t>份</w:t>
            </w:r>
            <w:r>
              <w:rPr>
                <w:rFonts w:hint="eastAsia" w:ascii="Times New Roman" w:hAnsi="Times New Roman" w:eastAsia="宋体" w:cs="Times New Roman"/>
                <w:sz w:val="24"/>
                <w:szCs w:val="24"/>
              </w:rPr>
              <w:t>，</w:t>
            </w:r>
            <w:r>
              <w:rPr>
                <w:rFonts w:ascii="Times New Roman" w:hAnsi="Times New Roman" w:eastAsia="宋体" w:cs="Times New Roman"/>
                <w:sz w:val="24"/>
                <w:szCs w:val="24"/>
              </w:rPr>
              <w:t>副本</w:t>
            </w:r>
            <w:r>
              <w:rPr>
                <w:rFonts w:hint="eastAsia" w:ascii="Times New Roman" w:hAnsi="Times New Roman" w:eastAsia="宋体" w:cs="Times New Roman"/>
                <w:sz w:val="24"/>
                <w:szCs w:val="24"/>
              </w:rPr>
              <w:t>四</w:t>
            </w:r>
            <w:r>
              <w:rPr>
                <w:rFonts w:ascii="Times New Roman" w:hAnsi="Times New Roman" w:eastAsia="宋体" w:cs="Times New Roman"/>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投标有效期</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sz w:val="24"/>
                <w:szCs w:val="24"/>
              </w:rPr>
            </w:pPr>
            <w:r>
              <w:rPr>
                <w:rFonts w:hint="eastAsia" w:ascii="宋体" w:hAnsi="宋体" w:eastAsia="宋体" w:cs="宋体"/>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130"/>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资格预审</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color w:val="FF0000"/>
                <w:sz w:val="24"/>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开标时间</w:t>
            </w:r>
            <w:r>
              <w:rPr>
                <w:rFonts w:hint="eastAsia" w:ascii="Times New Roman" w:hAnsi="宋体" w:eastAsia="宋体" w:cs="Times New Roman"/>
                <w:sz w:val="24"/>
                <w:szCs w:val="24"/>
              </w:rPr>
              <w:t>、地点</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备选方案</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不允许</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项目内容、服务及商务要求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宋体" w:eastAsia="宋体" w:cs="Times New Roman"/>
                <w:sz w:val="24"/>
                <w:szCs w:val="24"/>
              </w:rPr>
              <w:t>实物样品</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不提交</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项目内容、服务及商务要求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宋体" w:hAnsi="宋体" w:eastAsia="宋体" w:cs="宋体"/>
                <w:color w:val="000000"/>
                <w:sz w:val="24"/>
                <w:szCs w:val="24"/>
              </w:rPr>
              <w:t>现</w:t>
            </w:r>
            <w:r>
              <w:rPr>
                <w:rFonts w:hint="eastAsia" w:ascii="宋体" w:hAnsi="宋体" w:eastAsia="宋体" w:cs="宋体"/>
                <w:sz w:val="24"/>
                <w:szCs w:val="24"/>
              </w:rPr>
              <w:t>场考察</w:t>
            </w:r>
          </w:p>
        </w:tc>
        <w:tc>
          <w:tcPr>
            <w:tcW w:w="6470" w:type="dxa"/>
            <w:tcBorders>
              <w:top w:val="single" w:color="auto" w:sz="4" w:space="0"/>
              <w:left w:val="single" w:color="auto" w:sz="4" w:space="0"/>
              <w:bottom w:val="single" w:color="auto" w:sz="4" w:space="0"/>
            </w:tcBorders>
            <w:vAlign w:val="center"/>
          </w:tcPr>
          <w:p>
            <w:pPr>
              <w:ind w:right="-105" w:rightChars="-50"/>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不组织</w:t>
            </w:r>
          </w:p>
          <w:p>
            <w:pPr>
              <w:ind w:right="-105" w:rightChars="-5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详见第三章“</w:t>
            </w:r>
            <w:r>
              <w:rPr>
                <w:rFonts w:hint="eastAsia" w:ascii="宋体" w:hAnsi="宋体" w:eastAsia="宋体" w:cs="Times New Roman"/>
                <w:sz w:val="24"/>
                <w:szCs w:val="24"/>
              </w:rPr>
              <w:t>项目内容、服务及商务要求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0D0D0D"/>
                <w:sz w:val="24"/>
                <w:szCs w:val="24"/>
              </w:rPr>
            </w:pPr>
            <w:r>
              <w:rPr>
                <w:rFonts w:hint="eastAsia" w:ascii="Times New Roman" w:hAnsi="宋体" w:eastAsia="宋体" w:cs="Times New Roman"/>
                <w:color w:val="0D0D0D"/>
                <w:sz w:val="24"/>
                <w:szCs w:val="24"/>
              </w:rPr>
              <w:t>中标后分包</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 xml:space="preserve"> 不允许</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详见第三章“</w:t>
            </w:r>
            <w:r>
              <w:rPr>
                <w:rFonts w:hint="eastAsia" w:ascii="宋体" w:hAnsi="宋体" w:eastAsia="宋体" w:cs="Times New Roman"/>
                <w:sz w:val="24"/>
                <w:szCs w:val="24"/>
              </w:rPr>
              <w:t>项目内容、服务及商务要求</w:t>
            </w:r>
            <w:r>
              <w:rPr>
                <w:rFonts w:hint="eastAsia" w:ascii="Times New Roman" w:hAnsi="Times New Roman" w:eastAsia="宋体" w:cs="Times New Roman"/>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ascii="Times New Roman" w:hAnsi="宋体" w:eastAsia="宋体" w:cs="Times New Roman"/>
                <w:sz w:val="24"/>
                <w:szCs w:val="24"/>
              </w:rPr>
              <w:t>评标办法</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综合评分法</w:t>
            </w:r>
          </w:p>
          <w:p>
            <w:pPr>
              <w:jc w:val="center"/>
              <w:rPr>
                <w:rFonts w:ascii="Times New Roman" w:hAnsi="Times New Roman" w:eastAsia="宋体" w:cs="Times New Roman"/>
                <w:sz w:val="24"/>
                <w:szCs w:val="24"/>
                <w:lang w:val="zh-CN"/>
              </w:rPr>
            </w:pPr>
            <w:r>
              <w:rPr>
                <w:rFonts w:hint="eastAsia" w:ascii="Times New Roman" w:hAnsi="Times New Roman" w:eastAsia="宋体" w:cs="Times New Roman"/>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中小企业</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监狱企业</w:t>
            </w:r>
          </w:p>
        </w:tc>
        <w:tc>
          <w:tcPr>
            <w:tcW w:w="6470" w:type="dxa"/>
            <w:tcBorders>
              <w:top w:val="single" w:color="auto" w:sz="4" w:space="0"/>
              <w:left w:val="single" w:color="auto" w:sz="4" w:space="0"/>
              <w:bottom w:val="single" w:color="auto" w:sz="4" w:space="0"/>
            </w:tcBorders>
            <w:vAlign w:val="center"/>
          </w:tcPr>
          <w:p>
            <w:pPr>
              <w:jc w:val="center"/>
              <w:rPr>
                <w:rFonts w:ascii="Times New Roman" w:hAnsi="Times New Roman" w:eastAsia="宋体" w:cs="Times New Roman"/>
                <w:color w:val="FF0000"/>
                <w:sz w:val="24"/>
                <w:szCs w:val="24"/>
              </w:rPr>
            </w:pPr>
            <w:r>
              <w:rPr>
                <w:rFonts w:hint="eastAsia" w:ascii="Times New Roman" w:hAnsi="Times New Roman" w:eastAsia="宋体" w:cs="Times New Roman"/>
                <w:color w:val="FF0000"/>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2"/>
              </w:numPr>
              <w:tabs>
                <w:tab w:val="left" w:pos="242"/>
              </w:tabs>
              <w:ind w:right="57"/>
              <w:jc w:val="center"/>
              <w:rPr>
                <w:rFonts w:ascii="宋体" w:hAnsi="宋体" w:eastAsia="宋体" w:cs="Times New Roman"/>
                <w:b/>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sz w:val="24"/>
                <w:szCs w:val="24"/>
              </w:rPr>
            </w:pPr>
            <w:r>
              <w:rPr>
                <w:rFonts w:hint="eastAsia" w:ascii="Times New Roman" w:hAnsi="宋体" w:eastAsia="宋体" w:cs="Times New Roman"/>
                <w:sz w:val="24"/>
                <w:szCs w:val="24"/>
              </w:rPr>
              <w:t>质疑及提交</w:t>
            </w:r>
          </w:p>
        </w:tc>
        <w:tc>
          <w:tcPr>
            <w:tcW w:w="6470" w:type="dxa"/>
            <w:tcBorders>
              <w:top w:val="single" w:color="auto" w:sz="4" w:space="0"/>
              <w:left w:val="single" w:color="auto" w:sz="4" w:space="0"/>
              <w:bottom w:val="single" w:color="auto" w:sz="4" w:space="0"/>
            </w:tcBorders>
            <w:vAlign w:val="center"/>
          </w:tcPr>
          <w:p>
            <w:pPr>
              <w:jc w:val="center"/>
              <w:rPr>
                <w:rFonts w:cs="Times New Roman" w:asciiTheme="minorEastAsia" w:hAnsiTheme="minorEastAsia"/>
                <w:sz w:val="24"/>
                <w:szCs w:val="24"/>
              </w:rPr>
            </w:pPr>
            <w:r>
              <w:rPr>
                <w:rFonts w:hint="eastAsia" w:cs="Times New Roman" w:asciiTheme="minorEastAsia" w:hAnsiTheme="minorEastAsia"/>
                <w:sz w:val="24"/>
                <w:szCs w:val="24"/>
              </w:rPr>
              <w:t>详见本章“质疑及提交”要求</w:t>
            </w:r>
          </w:p>
        </w:tc>
      </w:tr>
    </w:tbl>
    <w:p>
      <w:pPr>
        <w:keepNext/>
        <w:keepLines/>
        <w:numPr>
          <w:ilvl w:val="0"/>
          <w:numId w:val="3"/>
        </w:numPr>
        <w:spacing w:before="100" w:beforeAutospacing="1" w:after="100" w:afterAutospacing="1" w:line="360" w:lineRule="auto"/>
        <w:ind w:left="482" w:hanging="480" w:hangingChars="150"/>
        <w:outlineLvl w:val="1"/>
        <w:rPr>
          <w:rFonts w:ascii="黑体" w:hAnsi="黑体" w:eastAsia="黑体" w:cs="Times New Roman"/>
          <w:b/>
          <w:bCs/>
          <w:sz w:val="32"/>
          <w:szCs w:val="32"/>
          <w:lang w:val="zh-CN"/>
        </w:rPr>
      </w:pPr>
      <w:bookmarkStart w:id="4" w:name="_Toc494561938"/>
      <w:r>
        <w:rPr>
          <w:rFonts w:ascii="黑体" w:hAnsi="黑体" w:eastAsia="黑体" w:cs="Times New Roman"/>
          <w:b/>
          <w:bCs/>
          <w:sz w:val="32"/>
          <w:szCs w:val="32"/>
          <w:lang w:val="zh-CN"/>
        </w:rPr>
        <w:br w:type="page"/>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5" w:name="_Toc48230884"/>
      <w:r>
        <w:rPr>
          <w:rFonts w:hint="eastAsia" w:cs="Times New Roman" w:asciiTheme="majorEastAsia" w:hAnsiTheme="majorEastAsia"/>
          <w:bCs w:val="0"/>
          <w:lang w:val="zh-CN"/>
        </w:rPr>
        <w:t>说  明</w:t>
      </w:r>
      <w:bookmarkEnd w:id="4"/>
      <w:bookmarkEnd w:id="5"/>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适用范围</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招标文件仅适用于第一章“投标邀请书”中所述项目的货物、工程及服务的采购。</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当事人定义</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“采购人”是指：</w:t>
      </w:r>
      <w:r>
        <w:rPr>
          <w:rFonts w:hint="eastAsia" w:cs="Times New Roman" w:asciiTheme="minorEastAsia" w:hAnsiTheme="minorEastAsia"/>
          <w:sz w:val="24"/>
          <w:szCs w:val="24"/>
          <w:lang w:val="zh-CN"/>
        </w:rPr>
        <w:t>详见第一章“投标邀请书”。</w:t>
      </w:r>
    </w:p>
    <w:p>
      <w:pPr>
        <w:numPr>
          <w:ilvl w:val="0"/>
          <w:numId w:val="6"/>
        </w:numPr>
        <w:spacing w:line="360" w:lineRule="auto"/>
        <w:ind w:left="476" w:hanging="476"/>
        <w:rPr>
          <w:rFonts w:cs="Times New Roman" w:asciiTheme="minorEastAsia" w:hAnsiTheme="minorEastAsia"/>
          <w:color w:val="FF0000"/>
          <w:sz w:val="24"/>
          <w:szCs w:val="24"/>
          <w:lang w:val="zh-CN"/>
        </w:rPr>
      </w:pPr>
      <w:r>
        <w:rPr>
          <w:rFonts w:hint="eastAsia" w:cs="Times New Roman" w:asciiTheme="minorEastAsia" w:hAnsiTheme="minorEastAsia"/>
          <w:b/>
          <w:sz w:val="24"/>
          <w:szCs w:val="24"/>
          <w:lang w:val="zh-CN"/>
        </w:rPr>
        <w:t>“监管部门”是指：</w:t>
      </w:r>
      <w:r>
        <w:rPr>
          <w:rFonts w:hint="eastAsia" w:cs="Times New Roman" w:asciiTheme="minorEastAsia" w:hAnsiTheme="minorEastAsia"/>
          <w:color w:val="FF0000"/>
          <w:sz w:val="24"/>
          <w:szCs w:val="24"/>
          <w:lang w:val="zh-CN"/>
        </w:rPr>
        <w:t>阳新县政府采购办公室、阳新县公共资源交易监督管理局。</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“采购代理机构”是指：</w:t>
      </w:r>
      <w:r>
        <w:rPr>
          <w:rFonts w:hint="eastAsia" w:cs="Helvetica" w:asciiTheme="minorEastAsia" w:hAnsiTheme="minorEastAsia"/>
          <w:kern w:val="0"/>
          <w:sz w:val="24"/>
          <w:szCs w:val="24"/>
          <w:lang w:val="zh-CN"/>
        </w:rPr>
        <w:t>武汉富纳工程咨询有限公司。</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“投标人”是指：</w:t>
      </w:r>
      <w:r>
        <w:rPr>
          <w:rFonts w:cs="Helvetica" w:asciiTheme="minorEastAsia" w:hAnsiTheme="minorEastAsia"/>
          <w:kern w:val="0"/>
          <w:sz w:val="24"/>
          <w:szCs w:val="24"/>
          <w:lang w:val="zh-CN"/>
        </w:rPr>
        <w:t>响应招标、参加投标竞争的法人、其他组织或者自然人。</w:t>
      </w:r>
    </w:p>
    <w:p>
      <w:pPr>
        <w:numPr>
          <w:ilvl w:val="0"/>
          <w:numId w:val="6"/>
        </w:numPr>
        <w:spacing w:line="360" w:lineRule="auto"/>
        <w:ind w:left="476" w:hanging="476"/>
        <w:rPr>
          <w:rFonts w:cs="Helvetica" w:asciiTheme="minorEastAsia" w:hAnsiTheme="minorEastAsia"/>
          <w:kern w:val="0"/>
          <w:sz w:val="24"/>
          <w:szCs w:val="24"/>
          <w:lang w:val="zh-CN"/>
        </w:rPr>
      </w:pPr>
      <w:r>
        <w:rPr>
          <w:rFonts w:hint="eastAsia" w:cs="Times New Roman" w:asciiTheme="minorEastAsia" w:hAnsiTheme="minorEastAsia"/>
          <w:b/>
          <w:sz w:val="24"/>
          <w:szCs w:val="24"/>
          <w:lang w:val="zh-CN"/>
        </w:rPr>
        <w:t>“合格的投标人”是指：</w:t>
      </w:r>
      <w:r>
        <w:rPr>
          <w:rFonts w:hint="eastAsia" w:cs="Helvetica" w:asciiTheme="minorEastAsia" w:hAnsiTheme="minorEastAsia"/>
          <w:kern w:val="0"/>
          <w:sz w:val="24"/>
          <w:szCs w:val="24"/>
          <w:lang w:val="zh-CN"/>
        </w:rPr>
        <w:t>资格审查和符合性审查合格的投标人。</w:t>
      </w:r>
    </w:p>
    <w:p>
      <w:pPr>
        <w:numPr>
          <w:ilvl w:val="0"/>
          <w:numId w:val="6"/>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“中标人”是指：</w:t>
      </w:r>
      <w:r>
        <w:rPr>
          <w:rFonts w:hint="eastAsia" w:cs="Times New Roman" w:asciiTheme="minorEastAsia" w:hAnsiTheme="minorEastAsia"/>
          <w:sz w:val="24"/>
          <w:szCs w:val="24"/>
          <w:lang w:val="zh-CN"/>
        </w:rPr>
        <w:t>经评标委员会评审，授予合同的投标人。</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项目属性及定义</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“货物”是指</w:t>
      </w:r>
      <w:r>
        <w:rPr>
          <w:rFonts w:hint="eastAsia" w:cs="Times New Roman" w:asciiTheme="minorEastAsia" w:hAnsiTheme="minorEastAsia"/>
          <w:sz w:val="24"/>
          <w:szCs w:val="24"/>
          <w:lang w:val="zh-CN"/>
        </w:rPr>
        <w:t>：各种形态和种类的物品，包括原材料、燃料、设备、产品等。</w:t>
      </w:r>
    </w:p>
    <w:p>
      <w:pPr>
        <w:numPr>
          <w:ilvl w:val="0"/>
          <w:numId w:val="8"/>
        </w:numPr>
        <w:spacing w:line="360" w:lineRule="auto"/>
        <w:ind w:left="640" w:leftChars="0" w:hanging="640" w:firstLineChars="0"/>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招标文件中没有提及招标货物来源地的，根据《政府采购法》及相关规定均应是本</w:t>
      </w:r>
      <w:r>
        <w:rPr>
          <w:rFonts w:hint="eastAsia" w:cs="Times New Roman" w:asciiTheme="minorEastAsia" w:hAnsiTheme="minorEastAsia"/>
          <w:sz w:val="24"/>
          <w:szCs w:val="24"/>
          <w:lang w:val="en-US" w:eastAsia="zh-CN"/>
        </w:rPr>
        <w:t xml:space="preserve"> </w:t>
      </w:r>
    </w:p>
    <w:p>
      <w:pPr>
        <w:numPr>
          <w:ilvl w:val="0"/>
          <w:numId w:val="0"/>
        </w:numPr>
        <w:spacing w:line="360" w:lineRule="auto"/>
        <w:ind w:leftChars="0" w:firstLine="960" w:firstLineChars="4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国货物，另有规定的除外。</w:t>
      </w:r>
    </w:p>
    <w:p>
      <w:pPr>
        <w:numPr>
          <w:ilvl w:val="0"/>
          <w:numId w:val="8"/>
        </w:numPr>
        <w:spacing w:line="360" w:lineRule="auto"/>
        <w:ind w:left="854" w:leftChars="0" w:hanging="854" w:firstLineChars="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0D0D0D"/>
          <w:sz w:val="24"/>
          <w:szCs w:val="24"/>
          <w:lang w:val="zh-CN"/>
        </w:rPr>
      </w:pPr>
      <w:r>
        <w:rPr>
          <w:rFonts w:hint="eastAsia" w:cs="Times New Roman" w:asciiTheme="minorEastAsia" w:hAnsiTheme="minorEastAsia"/>
          <w:b/>
          <w:color w:val="0D0D0D"/>
          <w:sz w:val="24"/>
          <w:szCs w:val="24"/>
          <w:lang w:val="zh-CN"/>
        </w:rPr>
        <w:t>“工程”是指</w:t>
      </w:r>
      <w:r>
        <w:rPr>
          <w:rFonts w:hint="eastAsia" w:cs="Times New Roman" w:asciiTheme="minorEastAsia" w:hAnsiTheme="minorEastAsia"/>
          <w:color w:val="0D0D0D"/>
          <w:sz w:val="24"/>
          <w:szCs w:val="24"/>
          <w:lang w:val="zh-CN"/>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“服务”</w:t>
      </w:r>
      <w:r>
        <w:rPr>
          <w:rFonts w:hint="eastAsia" w:cs="Times New Roman" w:asciiTheme="minorEastAsia" w:hAnsiTheme="minorEastAsia"/>
          <w:b/>
          <w:color w:val="0C0C0C" w:themeColor="text1" w:themeTint="F2"/>
          <w:sz w:val="24"/>
          <w:szCs w:val="24"/>
          <w:lang w:val="zh-CN"/>
        </w:rPr>
        <w:t>是指：</w:t>
      </w:r>
      <w:r>
        <w:rPr>
          <w:rFonts w:hint="eastAsia" w:cs="Times New Roman" w:asciiTheme="minorEastAsia" w:hAnsiTheme="minorEastAsia"/>
          <w:color w:val="0C0C0C" w:themeColor="text1" w:themeTint="F2"/>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sz w:val="24"/>
          <w:szCs w:val="24"/>
          <w:lang w:val="zh-CN"/>
        </w:rPr>
      </w:pPr>
      <w:r>
        <w:rPr>
          <w:rFonts w:cs="Times New Roman" w:asciiTheme="minorEastAsia" w:hAnsiTheme="minorEastAsia"/>
          <w:sz w:val="24"/>
          <w:szCs w:val="24"/>
          <w:lang w:val="zh-CN"/>
        </w:rPr>
        <w:t>采购人应当按照财政部制定的《政府采购品目分类目录》确定采购项目属性</w:t>
      </w:r>
      <w:r>
        <w:rPr>
          <w:rFonts w:hint="eastAsia" w:cs="Times New Roman" w:asciiTheme="minorEastAsia" w:hAnsiTheme="minorEastAsia"/>
          <w:sz w:val="24"/>
          <w:szCs w:val="24"/>
          <w:lang w:val="zh-CN"/>
        </w:rPr>
        <w:t>。</w:t>
      </w:r>
      <w:r>
        <w:rPr>
          <w:rFonts w:cs="Times New Roman" w:asciiTheme="minorEastAsia" w:hAnsiTheme="minorEastAsia"/>
          <w:sz w:val="24"/>
          <w:szCs w:val="24"/>
          <w:lang w:val="zh-CN"/>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投标费用</w:t>
      </w:r>
    </w:p>
    <w:p>
      <w:pPr>
        <w:numPr>
          <w:ilvl w:val="0"/>
          <w:numId w:val="9"/>
        </w:numPr>
        <w:spacing w:line="360" w:lineRule="auto"/>
        <w:ind w:left="476" w:hanging="47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投标人应承担所有与准备和参加投标有关的费用。不论投标的结果如何，采购代理机构和采购人均无义务和责任承担这些费用。</w:t>
      </w:r>
    </w:p>
    <w:p>
      <w:pPr>
        <w:pStyle w:val="36"/>
        <w:numPr>
          <w:ilvl w:val="0"/>
          <w:numId w:val="9"/>
        </w:numPr>
        <w:adjustRightInd w:val="0"/>
        <w:snapToGrid w:val="0"/>
        <w:spacing w:line="300" w:lineRule="auto"/>
        <w:ind w:firstLineChars="0"/>
        <w:rPr>
          <w:rFonts w:ascii="宋体" w:hAnsi="宋体"/>
          <w:bCs/>
          <w:sz w:val="24"/>
          <w:szCs w:val="24"/>
        </w:rPr>
      </w:pPr>
      <w:r>
        <w:rPr>
          <w:rFonts w:hint="eastAsia" w:ascii="宋体" w:hAnsi="宋体"/>
          <w:sz w:val="24"/>
          <w:szCs w:val="24"/>
        </w:rPr>
        <w:t>采购代理服务费</w:t>
      </w:r>
    </w:p>
    <w:p>
      <w:pPr>
        <w:pStyle w:val="36"/>
        <w:adjustRightInd w:val="0"/>
        <w:snapToGrid w:val="0"/>
        <w:spacing w:line="300" w:lineRule="auto"/>
        <w:ind w:firstLine="0" w:firstLineChars="0"/>
        <w:rPr>
          <w:rFonts w:ascii="宋体" w:hAnsi="宋体"/>
          <w:sz w:val="24"/>
          <w:szCs w:val="24"/>
        </w:rPr>
      </w:pPr>
    </w:p>
    <w:p>
      <w:pPr>
        <w:pStyle w:val="36"/>
        <w:adjustRightInd w:val="0"/>
        <w:snapToGrid w:val="0"/>
        <w:spacing w:line="300" w:lineRule="auto"/>
        <w:ind w:firstLine="0" w:firstLineChars="0"/>
        <w:rPr>
          <w:rFonts w:ascii="宋体" w:hAnsi="宋体"/>
          <w:sz w:val="24"/>
          <w:szCs w:val="24"/>
        </w:rPr>
      </w:pPr>
    </w:p>
    <w:p>
      <w:pPr>
        <w:pStyle w:val="36"/>
        <w:adjustRightInd w:val="0"/>
        <w:snapToGrid w:val="0"/>
        <w:spacing w:line="300" w:lineRule="auto"/>
        <w:ind w:firstLine="0" w:firstLineChars="0"/>
        <w:rPr>
          <w:rFonts w:ascii="宋体" w:hAnsi="宋体"/>
          <w:sz w:val="24"/>
          <w:szCs w:val="24"/>
        </w:rPr>
      </w:pPr>
    </w:p>
    <w:p>
      <w:pPr>
        <w:pStyle w:val="36"/>
        <w:adjustRightInd w:val="0"/>
        <w:snapToGrid w:val="0"/>
        <w:spacing w:line="300" w:lineRule="auto"/>
        <w:ind w:firstLine="0" w:firstLineChars="0"/>
        <w:rPr>
          <w:rFonts w:ascii="宋体" w:hAnsi="宋体"/>
          <w:sz w:val="24"/>
          <w:szCs w:val="24"/>
        </w:rPr>
      </w:pPr>
    </w:p>
    <w:p>
      <w:pPr>
        <w:pStyle w:val="36"/>
        <w:ind w:left="420" w:firstLine="0" w:firstLineChars="0"/>
        <w:rPr>
          <w:rFonts w:ascii="宋体" w:hAnsi="宋体"/>
          <w:sz w:val="24"/>
          <w:szCs w:val="24"/>
        </w:rPr>
      </w:pPr>
      <w:r>
        <w:rPr>
          <w:rFonts w:hint="eastAsia" w:ascii="宋体" w:hAnsi="宋体"/>
          <w:b/>
          <w:sz w:val="24"/>
          <w:szCs w:val="24"/>
        </w:rPr>
        <w:t>经过采购代理机构与采购人协议，规定由中标单位支付。采购代理服务费收费标准如下：</w:t>
      </w:r>
    </w:p>
    <w:tbl>
      <w:tblPr>
        <w:tblStyle w:val="16"/>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sz w:val="24"/>
                <w:szCs w:val="24"/>
              </w:rPr>
            </w:pPr>
            <w:r>
              <w:rPr>
                <w:rFonts w:ascii="宋体" w:hAnsi="宋体" w:cs="宋体"/>
                <w:sz w:val="24"/>
                <w:szCs w:val="24"/>
              </w:rPr>
              <w:pict>
                <v:line id="Line 16" o:spid="_x0000_s1027" o:spt="20" style="position:absolute;left:0pt;flip:x y;margin-left:-1.05pt;margin-top:8pt;height:68.5pt;width:111.1pt;z-index:251661312;mso-width-relative:page;mso-height-relative:page;" coordsize="21600,21600">
                  <v:path arrowok="t"/>
                  <v:fill focussize="0,0"/>
                  <v:stroke/>
                  <v:imagedata o:title=""/>
                  <o:lock v:ext="edit"/>
                </v:line>
              </w:pict>
            </w:r>
            <w:r>
              <w:rPr>
                <w:rFonts w:ascii="宋体" w:hAnsi="宋体" w:cs="宋体"/>
                <w:sz w:val="24"/>
                <w:szCs w:val="24"/>
              </w:rPr>
              <w:pict>
                <v:line id="Line 17" o:spid="_x0000_s1028" o:spt="20" style="position:absolute;left:0pt;flip:x y;margin-left:-5.15pt;margin-top:4.3pt;height:33.15pt;width:125.75pt;z-index:251662336;mso-width-relative:page;mso-height-relative:page;" coordsize="21600,21600">
                  <v:path arrowok="t"/>
                  <v:fill focussize="0,0"/>
                  <v:stroke/>
                  <v:imagedata o:title=""/>
                  <o:lock v:ext="edit"/>
                </v:line>
              </w:pict>
            </w:r>
            <w:r>
              <w:rPr>
                <w:rFonts w:ascii="宋体" w:hAnsi="宋体" w:cs="宋体"/>
                <w:sz w:val="24"/>
                <w:szCs w:val="24"/>
              </w:rPr>
              <w:pict>
                <v:line id="Line 15" o:spid="_x0000_s1026" o:spt="20" style="position:absolute;left:0pt;margin-left:-9pt;margin-top:-0.5pt;height:0pt;width:0.05pt;z-index:251660288;mso-width-relative:page;mso-height-relative:page;" coordsize="21600,21600" o:allowincell="f">
                  <v:path arrowok="t"/>
                  <v:fill focussize="0,0"/>
                  <v:stroke/>
                  <v:imagedata o:title=""/>
                  <o:lock v:ext="edit"/>
                </v:line>
              </w:pict>
            </w:r>
            <w:r>
              <w:rPr>
                <w:rFonts w:hint="eastAsia" w:ascii="宋体" w:hAnsi="宋体" w:cs="宋体"/>
                <w:sz w:val="24"/>
                <w:szCs w:val="24"/>
              </w:rPr>
              <w:t>招标类型　　　</w:t>
            </w:r>
          </w:p>
          <w:p>
            <w:pPr>
              <w:spacing w:line="300" w:lineRule="auto"/>
              <w:ind w:firstLine="998" w:firstLineChars="416"/>
              <w:rPr>
                <w:rFonts w:ascii="宋体" w:hAnsi="宋体" w:cs="宋体"/>
                <w:sz w:val="24"/>
                <w:szCs w:val="24"/>
              </w:rPr>
            </w:pPr>
            <w:r>
              <w:rPr>
                <w:rFonts w:hint="eastAsia" w:ascii="宋体" w:hAnsi="宋体" w:cs="宋体"/>
                <w:bCs/>
                <w:sz w:val="24"/>
                <w:szCs w:val="24"/>
              </w:rPr>
              <w:t>中标</w:t>
            </w:r>
            <w:r>
              <w:rPr>
                <w:rFonts w:hint="eastAsia" w:ascii="宋体" w:hAnsi="宋体" w:cs="宋体"/>
                <w:sz w:val="24"/>
                <w:szCs w:val="24"/>
              </w:rPr>
              <w:t xml:space="preserve">　　　 </w:t>
            </w:r>
          </w:p>
          <w:p>
            <w:pPr>
              <w:spacing w:line="300" w:lineRule="auto"/>
              <w:ind w:firstLine="1504" w:firstLineChars="627"/>
              <w:rPr>
                <w:rFonts w:ascii="宋体" w:hAnsi="宋体" w:cs="宋体"/>
                <w:bCs/>
                <w:sz w:val="24"/>
                <w:szCs w:val="24"/>
              </w:rPr>
            </w:pPr>
            <w:r>
              <w:rPr>
                <w:rFonts w:hint="eastAsia" w:ascii="宋体" w:hAnsi="宋体" w:cs="宋体"/>
                <w:bCs/>
                <w:sz w:val="24"/>
                <w:szCs w:val="24"/>
              </w:rPr>
              <w:t>费率</w:t>
            </w:r>
          </w:p>
          <w:p>
            <w:pPr>
              <w:spacing w:line="300" w:lineRule="auto"/>
              <w:rPr>
                <w:rFonts w:ascii="宋体" w:hAnsi="宋体" w:cs="宋体"/>
                <w:sz w:val="24"/>
                <w:szCs w:val="24"/>
              </w:rPr>
            </w:pPr>
            <w:r>
              <w:rPr>
                <w:rFonts w:hint="eastAsia" w:ascii="宋体" w:hAnsi="宋体" w:cs="宋体"/>
                <w:sz w:val="24"/>
                <w:szCs w:val="24"/>
              </w:rPr>
              <w:t>金额（万元）</w:t>
            </w:r>
          </w:p>
        </w:tc>
        <w:tc>
          <w:tcPr>
            <w:tcW w:w="2470" w:type="dxa"/>
            <w:vAlign w:val="center"/>
          </w:tcPr>
          <w:p>
            <w:pPr>
              <w:spacing w:line="300" w:lineRule="auto"/>
              <w:jc w:val="center"/>
              <w:rPr>
                <w:rFonts w:ascii="宋体" w:hAnsi="宋体" w:cs="宋体"/>
                <w:sz w:val="24"/>
                <w:szCs w:val="24"/>
              </w:rPr>
            </w:pPr>
            <w:r>
              <w:rPr>
                <w:rFonts w:hint="eastAsia" w:ascii="宋体" w:hAnsi="宋体" w:cs="宋体"/>
                <w:sz w:val="24"/>
                <w:szCs w:val="24"/>
              </w:rPr>
              <w:t>货物招标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服务招标</w:t>
            </w:r>
          </w:p>
        </w:tc>
        <w:tc>
          <w:tcPr>
            <w:tcW w:w="2148" w:type="dxa"/>
            <w:vAlign w:val="center"/>
          </w:tcPr>
          <w:p>
            <w:pPr>
              <w:spacing w:line="300" w:lineRule="auto"/>
              <w:jc w:val="center"/>
              <w:rPr>
                <w:rFonts w:ascii="宋体" w:hAnsi="宋体" w:cs="宋体"/>
                <w:sz w:val="24"/>
                <w:szCs w:val="24"/>
              </w:rPr>
            </w:pPr>
            <w:r>
              <w:rPr>
                <w:rFonts w:hint="eastAsia" w:ascii="宋体" w:hAnsi="宋体" w:cs="宋体"/>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100以下</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100-500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1.1%</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sz w:val="24"/>
                <w:szCs w:val="24"/>
              </w:rPr>
            </w:pPr>
            <w:r>
              <w:rPr>
                <w:rFonts w:hint="eastAsia" w:ascii="宋体" w:hAnsi="宋体" w:cs="宋体"/>
                <w:sz w:val="24"/>
                <w:szCs w:val="24"/>
              </w:rPr>
              <w:t>500-1000</w:t>
            </w:r>
          </w:p>
        </w:tc>
        <w:tc>
          <w:tcPr>
            <w:tcW w:w="2470" w:type="dxa"/>
          </w:tcPr>
          <w:p>
            <w:pPr>
              <w:spacing w:line="300" w:lineRule="auto"/>
              <w:jc w:val="center"/>
              <w:rPr>
                <w:rFonts w:ascii="宋体" w:hAnsi="宋体" w:cs="宋体"/>
                <w:sz w:val="24"/>
                <w:szCs w:val="24"/>
              </w:rPr>
            </w:pPr>
            <w:r>
              <w:rPr>
                <w:rFonts w:hint="eastAsia" w:ascii="宋体" w:hAnsi="宋体" w:cs="宋体"/>
                <w:sz w:val="24"/>
                <w:szCs w:val="24"/>
              </w:rPr>
              <w:t>0.8%</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0.45%</w:t>
            </w:r>
          </w:p>
        </w:tc>
        <w:tc>
          <w:tcPr>
            <w:tcW w:w="2148" w:type="dxa"/>
          </w:tcPr>
          <w:p>
            <w:pPr>
              <w:spacing w:line="300" w:lineRule="auto"/>
              <w:jc w:val="center"/>
              <w:rPr>
                <w:rFonts w:ascii="宋体" w:hAnsi="宋体" w:cs="宋体"/>
                <w:sz w:val="24"/>
                <w:szCs w:val="24"/>
              </w:rPr>
            </w:pPr>
            <w:r>
              <w:rPr>
                <w:rFonts w:hint="eastAsia" w:ascii="宋体" w:hAnsi="宋体" w:cs="宋体"/>
                <w:sz w:val="24"/>
                <w:szCs w:val="24"/>
              </w:rPr>
              <w:t>0.55％</w:t>
            </w:r>
          </w:p>
        </w:tc>
      </w:tr>
    </w:tbl>
    <w:p>
      <w:pPr>
        <w:pStyle w:val="36"/>
        <w:adjustRightInd w:val="0"/>
        <w:snapToGrid w:val="0"/>
        <w:spacing w:line="300" w:lineRule="auto"/>
        <w:ind w:left="420" w:firstLine="0" w:firstLineChars="0"/>
        <w:rPr>
          <w:rFonts w:ascii="宋体" w:hAnsi="宋体"/>
          <w:sz w:val="24"/>
          <w:szCs w:val="24"/>
        </w:rPr>
      </w:pPr>
    </w:p>
    <w:p>
      <w:pPr>
        <w:pStyle w:val="36"/>
        <w:numPr>
          <w:ilvl w:val="0"/>
          <w:numId w:val="9"/>
        </w:numPr>
        <w:adjustRightInd w:val="0"/>
        <w:snapToGrid w:val="0"/>
        <w:spacing w:line="300" w:lineRule="auto"/>
        <w:ind w:firstLineChars="0"/>
        <w:rPr>
          <w:rFonts w:ascii="宋体" w:hAnsi="宋体"/>
          <w:sz w:val="24"/>
          <w:szCs w:val="24"/>
        </w:rPr>
      </w:pPr>
      <w:r>
        <w:rPr>
          <w:rFonts w:hint="eastAsia" w:ascii="宋体" w:hAnsi="宋体"/>
          <w:sz w:val="24"/>
          <w:szCs w:val="24"/>
        </w:rPr>
        <w:t>公共资源交易平台信息服务费</w:t>
      </w:r>
    </w:p>
    <w:p>
      <w:pPr>
        <w:pStyle w:val="36"/>
        <w:adjustRightInd w:val="0"/>
        <w:snapToGrid w:val="0"/>
        <w:spacing w:line="300" w:lineRule="auto"/>
        <w:ind w:left="420" w:firstLine="0" w:firstLineChars="0"/>
        <w:rPr>
          <w:rFonts w:ascii="宋体" w:hAnsi="宋体"/>
          <w:sz w:val="24"/>
          <w:szCs w:val="24"/>
        </w:rPr>
      </w:pPr>
      <w:r>
        <w:rPr>
          <w:rFonts w:hint="eastAsia" w:ascii="宋体" w:hAnsi="宋体"/>
          <w:b/>
          <w:sz w:val="24"/>
          <w:szCs w:val="24"/>
        </w:rPr>
        <w:t>公共资源交易平台信息服务费由公共资源交易经办机构向中标人收取。公共资源交易平台信息费收费标准参照湖北省物价局和湖北省公共资源交易监督管理局联合下发的《关于降低公共资源交易平台信息服务收费标准的通知》（鄂价工服[2017]61号）文件执行。</w:t>
      </w:r>
    </w:p>
    <w:p>
      <w:pPr>
        <w:pStyle w:val="36"/>
        <w:adjustRightInd w:val="0"/>
        <w:snapToGrid w:val="0"/>
        <w:spacing w:line="300" w:lineRule="auto"/>
        <w:ind w:left="420" w:firstLine="0" w:firstLineChars="0"/>
        <w:rPr>
          <w:rFonts w:ascii="宋体" w:hAnsi="宋体"/>
          <w:sz w:val="24"/>
          <w:szCs w:val="24"/>
        </w:rPr>
      </w:pP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6" w:name="_Toc278891592"/>
      <w:bookmarkStart w:id="7" w:name="_Toc48230885"/>
      <w:bookmarkStart w:id="8" w:name="_Toc272247695"/>
      <w:bookmarkStart w:id="9" w:name="_Toc494561939"/>
      <w:r>
        <w:rPr>
          <w:rFonts w:hint="eastAsia" w:cs="Times New Roman" w:asciiTheme="majorEastAsia" w:hAnsiTheme="majorEastAsia"/>
          <w:bCs w:val="0"/>
          <w:lang w:val="zh-CN"/>
        </w:rPr>
        <w:t>招标文件</w:t>
      </w:r>
      <w:bookmarkEnd w:id="6"/>
      <w:bookmarkEnd w:id="7"/>
      <w:bookmarkEnd w:id="8"/>
      <w:bookmarkEnd w:id="9"/>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招标文件的构成</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第一章 投标邀请书</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第二章 投标人须知</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第三章 项目内容、服务及商务要求</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第四章 资格审查方法及标准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第五章 评标方法、程序及标准</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第六章 合同书格式（参考）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第七章 投标文件格式（参考）</w:t>
      </w:r>
    </w:p>
    <w:p>
      <w:pPr>
        <w:tabs>
          <w:tab w:val="left" w:pos="476"/>
        </w:tabs>
        <w:spacing w:line="360" w:lineRule="auto"/>
        <w:ind w:left="476"/>
        <w:rPr>
          <w:rFonts w:ascii="宋体" w:hAnsi="宋体" w:eastAsia="宋体" w:cs="Times New Roman"/>
          <w:sz w:val="24"/>
          <w:szCs w:val="20"/>
          <w:lang w:val="zh-CN"/>
        </w:rPr>
      </w:pPr>
      <w:r>
        <w:rPr>
          <w:rFonts w:hint="eastAsia" w:ascii="宋体" w:hAnsi="宋体" w:eastAsia="宋体" w:cs="Times New Roman"/>
          <w:sz w:val="24"/>
          <w:szCs w:val="20"/>
          <w:lang w:val="zh-CN"/>
        </w:rPr>
        <w:t>其 他  在招标过程中由采购代理机构发出的修正和补充文件等</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招标文件疑问的提交</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潜在投标人对招标文件有疑问的，可以向采购代理机构提出询问，或在6.2规定的时间前以书面的形式向采购代理机构提交疑问函。</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潜在投标人在项目招标公告期限届满之日起7个工作日内未对招标文件提出疑问的，采购代理机构将视其认同招标文件，在规定的时间后就招标文件内容提出的疑问将不予受理。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代理机构将组织采购人对潜在投标人所提交疑问以书面（或网上公告）的形式予以答复。必要时，采购代理机构将组织相关专家召开答疑会，并将会议内容以书面（或网上公告）的形式发给每个领取招标文件的潜在投标人（答复中不包括问题的来源）。</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招标文件的澄清、修改</w:t>
      </w:r>
    </w:p>
    <w:p>
      <w:pPr>
        <w:numPr>
          <w:ilvl w:val="0"/>
          <w:numId w:val="11"/>
        </w:numPr>
        <w:spacing w:line="360" w:lineRule="auto"/>
        <w:ind w:left="476" w:hanging="476"/>
        <w:rPr>
          <w:rFonts w:ascii="Helvetica" w:hAnsi="Helvetica" w:eastAsia="宋体" w:cs="Helvetica"/>
          <w:kern w:val="0"/>
          <w:sz w:val="24"/>
          <w:szCs w:val="24"/>
          <w:lang w:val="zh-CN"/>
        </w:rPr>
      </w:pPr>
      <w:r>
        <w:rPr>
          <w:rFonts w:hint="eastAsia" w:ascii="宋体" w:hAnsi="宋体" w:eastAsia="宋体" w:cs="Times New Roman"/>
          <w:sz w:val="24"/>
          <w:szCs w:val="20"/>
          <w:lang w:val="zh-CN"/>
        </w:rPr>
        <w:t>采购代理机构和采购人可以对已发出的招标文件进行必要的澄清或者修改。</w:t>
      </w:r>
      <w:r>
        <w:rPr>
          <w:rFonts w:hint="eastAsia" w:ascii="Helvetica" w:hAnsi="Helvetica" w:eastAsia="宋体" w:cs="Helvetica"/>
          <w:kern w:val="0"/>
          <w:sz w:val="24"/>
          <w:szCs w:val="24"/>
          <w:lang w:val="zh-CN"/>
        </w:rPr>
        <w:t>澄清或者修改将在原公告发布媒体上发布澄清公告。澄清或者修改的内容可能影响投标文件编制的，</w:t>
      </w:r>
      <w:r>
        <w:rPr>
          <w:rFonts w:hint="eastAsia" w:ascii="宋体" w:hAnsi="宋体" w:eastAsia="宋体" w:cs="Times New Roman"/>
          <w:sz w:val="24"/>
          <w:szCs w:val="20"/>
          <w:lang w:val="zh-CN"/>
        </w:rPr>
        <w:t>采购代理机构</w:t>
      </w:r>
      <w:r>
        <w:rPr>
          <w:rFonts w:hint="eastAsia" w:ascii="Helvetica" w:hAnsi="Helvetica" w:eastAsia="宋体" w:cs="Helvetica"/>
          <w:kern w:val="0"/>
          <w:sz w:val="24"/>
          <w:szCs w:val="24"/>
          <w:lang w:val="zh-CN"/>
        </w:rPr>
        <w:t>和采购人将在投标截止时间至少</w:t>
      </w:r>
      <w:r>
        <w:rPr>
          <w:rFonts w:hint="eastAsia" w:ascii="宋体" w:hAnsi="宋体" w:eastAsia="宋体" w:cs="Times New Roman"/>
          <w:sz w:val="24"/>
          <w:szCs w:val="20"/>
          <w:lang w:val="zh-CN"/>
        </w:rPr>
        <w:t>15</w:t>
      </w:r>
      <w:r>
        <w:rPr>
          <w:rFonts w:hint="eastAsia" w:ascii="Helvetica" w:hAnsi="Helvetica" w:eastAsia="宋体" w:cs="Helvetica"/>
          <w:kern w:val="0"/>
          <w:sz w:val="24"/>
          <w:szCs w:val="24"/>
          <w:lang w:val="zh-CN"/>
        </w:rPr>
        <w:t>日前，以书面</w:t>
      </w:r>
      <w:r>
        <w:rPr>
          <w:rFonts w:hint="eastAsia" w:ascii="宋体" w:hAnsi="宋体" w:eastAsia="宋体" w:cs="Times New Roman"/>
          <w:sz w:val="24"/>
          <w:szCs w:val="20"/>
          <w:lang w:val="zh-CN"/>
        </w:rPr>
        <w:t>（或网上公告）</w:t>
      </w:r>
      <w:r>
        <w:rPr>
          <w:rFonts w:hint="eastAsia" w:ascii="Helvetica" w:hAnsi="Helvetica" w:eastAsia="宋体" w:cs="Helvetica"/>
          <w:kern w:val="0"/>
          <w:sz w:val="24"/>
          <w:szCs w:val="24"/>
          <w:lang w:val="zh-CN"/>
        </w:rPr>
        <w:t>形式通知所有获取招标文件的潜在投标人。</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为使潜在投标人有充足时间对招标文件的澄清或者修改的内容进行研究和响应，采购代理机构和采购人可适当顺延提交投标文件的截止时间，并以书面（或网上公告）的形式通知所有领取招标文件的潜在投标人。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澄清或者修改的内容为招标文件的组成部分，并对潜在投标人具有约束力。</w:t>
      </w:r>
    </w:p>
    <w:p>
      <w:pPr>
        <w:numPr>
          <w:ilvl w:val="0"/>
          <w:numId w:val="5"/>
        </w:numPr>
        <w:spacing w:line="360" w:lineRule="auto"/>
        <w:rPr>
          <w:rFonts w:ascii="宋体" w:hAnsi="宋体" w:eastAsia="宋体" w:cs="Times New Roman"/>
          <w:b/>
          <w:sz w:val="24"/>
          <w:szCs w:val="20"/>
          <w:lang w:val="zh-CN"/>
        </w:rPr>
      </w:pPr>
      <w:r>
        <w:rPr>
          <w:rFonts w:hint="eastAsia" w:ascii="宋体" w:hAnsi="宋体" w:eastAsia="宋体" w:cs="Times New Roman"/>
          <w:b/>
          <w:sz w:val="24"/>
          <w:szCs w:val="20"/>
          <w:lang w:val="zh-CN"/>
        </w:rPr>
        <w:t>现场考察</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sz w:val="24"/>
          <w:szCs w:val="20"/>
          <w:lang w:val="zh-CN"/>
        </w:rPr>
      </w:pPr>
      <w:r>
        <w:rPr>
          <w:rFonts w:hint="eastAsia" w:ascii="宋体" w:hAnsi="宋体" w:eastAsia="宋体" w:cs="Times New Roman"/>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10" w:name="_Toc48230886"/>
      <w:bookmarkStart w:id="11" w:name="_Toc494561940"/>
      <w:bookmarkStart w:id="12" w:name="_Toc278891593"/>
      <w:bookmarkStart w:id="13" w:name="_Toc272247696"/>
      <w:r>
        <w:rPr>
          <w:rFonts w:hint="eastAsia" w:cs="Times New Roman" w:asciiTheme="majorEastAsia" w:hAnsiTheme="majorEastAsia"/>
          <w:bCs w:val="0"/>
          <w:lang w:val="zh-CN"/>
        </w:rPr>
        <w:t>投标文件</w:t>
      </w:r>
      <w:bookmarkEnd w:id="10"/>
      <w:bookmarkEnd w:id="11"/>
      <w:bookmarkEnd w:id="12"/>
      <w:bookmarkEnd w:id="13"/>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投标的语言</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投标人提交的投标文件以及投标人与</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投标文件编制</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0C0C0C" w:themeColor="text1" w:themeTint="F2"/>
          <w:sz w:val="24"/>
          <w:szCs w:val="24"/>
          <w:lang w:val="zh-CN"/>
        </w:rPr>
      </w:pPr>
      <w:r>
        <w:rPr>
          <w:rFonts w:hint="eastAsia" w:cs="Times New Roman" w:asciiTheme="minorEastAsia" w:hAnsiTheme="minorEastAsia"/>
          <w:color w:val="0C0C0C" w:themeColor="text1" w:themeTint="F2"/>
          <w:sz w:val="24"/>
          <w:szCs w:val="24"/>
          <w:lang w:val="zh-CN"/>
        </w:rPr>
        <w:t>投标人应对投标文件中所提供资料的真实性负责，</w:t>
      </w:r>
      <w:r>
        <w:rPr>
          <w:rFonts w:hint="eastAsia" w:cs="Times New Roman" w:asciiTheme="minorEastAsia" w:hAnsiTheme="minorEastAsia"/>
          <w:sz w:val="24"/>
          <w:szCs w:val="24"/>
          <w:lang w:val="zh-CN"/>
        </w:rPr>
        <w:t>若有虚假</w:t>
      </w:r>
      <w:r>
        <w:rPr>
          <w:rFonts w:hint="eastAsia" w:cs="Times New Roman" w:asciiTheme="minorEastAsia" w:hAnsiTheme="minorEastAsia"/>
          <w:color w:val="0C0C0C" w:themeColor="text1" w:themeTint="F2"/>
          <w:sz w:val="24"/>
          <w:szCs w:val="24"/>
          <w:lang w:val="zh-CN"/>
        </w:rPr>
        <w:t>，将依法承担相应责任。投标人应自觉接受采购代理机构对其中任何资料进一步核实的要求。</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投标文件用纸应统一为A4规格（图纸除外）。</w:t>
      </w:r>
    </w:p>
    <w:p>
      <w:pPr>
        <w:numPr>
          <w:ilvl w:val="0"/>
          <w:numId w:val="13"/>
        </w:numPr>
        <w:spacing w:line="360" w:lineRule="auto"/>
        <w:ind w:left="616" w:hanging="616"/>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投标人应将投标文件第一部分资格证明文件、第二部分商务文件、第三部分技术、服务文件分册编制装订，分别逐页连续标注页码，建立目录索引。</w:t>
      </w:r>
      <w:r>
        <w:rPr>
          <w:rFonts w:hint="eastAsia" w:ascii="宋体" w:hAnsi="宋体" w:eastAsia="宋体" w:cs="Times New Roman"/>
          <w:b/>
          <w:sz w:val="24"/>
          <w:szCs w:val="20"/>
          <w:lang w:val="zh-CN"/>
        </w:rPr>
        <w:t>各部分文件及内容详见第七章“投标文件格式”要求。</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投标报价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投标人所提供的货物（工程或服务）均以人民币计价。</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投标人应按照“第三章 项目内容、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《投标报价明细表》填写时应响应下列要求：</w:t>
      </w:r>
    </w:p>
    <w:p>
      <w:pPr>
        <w:numPr>
          <w:ilvl w:val="0"/>
          <w:numId w:val="15"/>
        </w:numPr>
        <w:spacing w:line="360" w:lineRule="auto"/>
        <w:ind w:left="980" w:leftChars="0" w:hanging="980" w:firstLineChars="0"/>
        <w:rPr>
          <w:rFonts w:cs="Times New Roman" w:asciiTheme="minorEastAsia" w:hAnsiTheme="minorEastAsia"/>
          <w:sz w:val="24"/>
          <w:szCs w:val="24"/>
          <w:lang w:val="zh-CN"/>
        </w:rPr>
      </w:pPr>
      <w:r>
        <w:rPr>
          <w:rFonts w:hint="eastAsia" w:ascii="宋体" w:hAnsi="宋体"/>
          <w:sz w:val="24"/>
        </w:rPr>
        <w:t>应包括所有根据合同或其他原因由投标人支付的款项、费用</w:t>
      </w:r>
      <w:r>
        <w:rPr>
          <w:rFonts w:hint="eastAsia" w:cs="Times New Roman" w:asciiTheme="minorEastAsia" w:hAnsiTheme="minorEastAsia"/>
          <w:sz w:val="24"/>
          <w:szCs w:val="24"/>
          <w:lang w:val="zh-CN"/>
        </w:rPr>
        <w:t>；</w:t>
      </w:r>
    </w:p>
    <w:p>
      <w:pPr>
        <w:numPr>
          <w:ilvl w:val="0"/>
          <w:numId w:val="15"/>
        </w:numPr>
        <w:spacing w:line="360" w:lineRule="auto"/>
        <w:ind w:left="980" w:leftChars="0" w:hanging="980" w:firstLineChars="0"/>
        <w:rPr>
          <w:rFonts w:cs="Times New Roman" w:asciiTheme="minorEastAsia" w:hAnsiTheme="minorEastAsia"/>
          <w:sz w:val="24"/>
          <w:szCs w:val="24"/>
          <w:lang w:val="zh-CN"/>
        </w:rPr>
      </w:pPr>
      <w:r>
        <w:rPr>
          <w:rFonts w:hint="eastAsia" w:cs="Times New Roman" w:asciiTheme="minorEastAsia" w:hAnsiTheme="minorEastAsia"/>
          <w:sz w:val="24"/>
          <w:szCs w:val="24"/>
          <w:lang w:val="zh-CN"/>
        </w:rPr>
        <w:t>应包含货物运至最终目的地的运输、保险和伴随货物（工程或服务）的有关费用；</w:t>
      </w:r>
    </w:p>
    <w:p>
      <w:pPr>
        <w:numPr>
          <w:ilvl w:val="0"/>
          <w:numId w:val="15"/>
        </w:numPr>
        <w:spacing w:line="360" w:lineRule="auto"/>
        <w:ind w:left="980" w:leftChars="0" w:hanging="980" w:firstLineChars="0"/>
        <w:rPr>
          <w:rFonts w:cs="Courier New" w:asciiTheme="minorEastAsia" w:hAnsiTheme="minorEastAsia"/>
          <w:b/>
          <w:sz w:val="24"/>
          <w:szCs w:val="24"/>
          <w:lang w:val="zh-CN"/>
        </w:rPr>
      </w:pPr>
      <w:r>
        <w:rPr>
          <w:rFonts w:hint="eastAsia" w:cs="Times New Roman" w:asciiTheme="minorEastAsia" w:hAnsiTheme="minorEastAsia"/>
          <w:sz w:val="24"/>
          <w:szCs w:val="24"/>
          <w:lang w:val="zh-CN"/>
        </w:rPr>
        <w:t>应详细提供《投标报价明细表》和《投标货物、服务清单》等内容，否则按照</w:t>
      </w:r>
      <w:r>
        <w:rPr>
          <w:rFonts w:hint="eastAsia" w:cs="Times New Roman" w:asciiTheme="minorEastAsia" w:hAnsiTheme="minorEastAsia"/>
          <w:b/>
          <w:sz w:val="24"/>
          <w:szCs w:val="24"/>
          <w:lang w:val="zh-CN"/>
        </w:rPr>
        <w:t>无效投标处理。</w:t>
      </w:r>
    </w:p>
    <w:p>
      <w:pPr>
        <w:numPr>
          <w:ilvl w:val="0"/>
          <w:numId w:val="14"/>
        </w:numPr>
        <w:spacing w:line="360" w:lineRule="auto"/>
        <w:ind w:left="616" w:hanging="616"/>
        <w:rPr>
          <w:rFonts w:cs="Times New Roman" w:asciiTheme="minorEastAsia" w:hAnsiTheme="minorEastAsia"/>
          <w:bCs/>
          <w:sz w:val="24"/>
          <w:szCs w:val="24"/>
          <w:lang w:val="zh-CN"/>
        </w:rPr>
      </w:pPr>
      <w:r>
        <w:rPr>
          <w:rFonts w:hint="eastAsia" w:cs="Times New Roman" w:asciiTheme="minorEastAsia" w:hAnsiTheme="minorEastAsia"/>
          <w:bCs/>
          <w:sz w:val="24"/>
          <w:szCs w:val="24"/>
          <w:lang w:val="zh-CN"/>
        </w:rPr>
        <w:t>每一种规格的货物（工程或服务）只允许有一个报价，否则按照</w:t>
      </w:r>
      <w:r>
        <w:rPr>
          <w:rFonts w:hint="eastAsia" w:cs="Times New Roman" w:asciiTheme="minorEastAsia" w:hAnsiTheme="minorEastAsia"/>
          <w:b/>
          <w:sz w:val="24"/>
          <w:szCs w:val="24"/>
          <w:lang w:val="zh-CN"/>
        </w:rPr>
        <w:t>无效投标处理。</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投标人应对项目招标范围内的全部内容进行报价，不得缺、漏项或只投其中的部分内容的，否则按照</w:t>
      </w:r>
      <w:r>
        <w:rPr>
          <w:rFonts w:hint="eastAsia" w:cs="Times New Roman" w:asciiTheme="minorEastAsia" w:hAnsiTheme="minorEastAsia"/>
          <w:b/>
          <w:bCs/>
          <w:sz w:val="24"/>
          <w:szCs w:val="24"/>
          <w:lang w:val="zh-CN"/>
        </w:rPr>
        <w:t>无效投标处理。</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备选方案</w:t>
      </w:r>
    </w:p>
    <w:p>
      <w:pPr>
        <w:spacing w:line="360" w:lineRule="auto"/>
        <w:ind w:firstLine="480" w:firstLineChars="200"/>
        <w:rPr>
          <w:rFonts w:cs="Times New Roman" w:asciiTheme="minorEastAsia" w:hAnsiTheme="minorEastAsia"/>
          <w:sz w:val="24"/>
          <w:szCs w:val="24"/>
          <w:lang w:val="zh-CN"/>
        </w:rPr>
      </w:pPr>
      <w:r>
        <w:rPr>
          <w:rFonts w:hint="eastAsia" w:cs="Times New Roman" w:asciiTheme="minorEastAsia" w:hAnsiTheme="minorEastAsia"/>
          <w:sz w:val="24"/>
          <w:szCs w:val="24"/>
          <w:lang w:val="zh-CN"/>
        </w:rPr>
        <w:t>只允许投标人提供一个投标方案（招标文件中要求提供备选方案的除外），否则按照</w:t>
      </w:r>
      <w:r>
        <w:rPr>
          <w:rFonts w:hint="eastAsia" w:cs="Times New Roman" w:asciiTheme="minorEastAsia" w:hAnsiTheme="minorEastAsia"/>
          <w:b/>
          <w:bCs/>
          <w:sz w:val="24"/>
          <w:szCs w:val="24"/>
          <w:lang w:val="zh-CN"/>
        </w:rPr>
        <w:t>无效投标处理。</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中标后分包</w:t>
      </w:r>
    </w:p>
    <w:p>
      <w:pPr>
        <w:spacing w:line="360" w:lineRule="auto"/>
        <w:ind w:firstLine="480" w:firstLineChars="200"/>
        <w:rPr>
          <w:rFonts w:cs="Times New Roman" w:asciiTheme="minorEastAsia" w:hAnsiTheme="minorEastAsia"/>
          <w:sz w:val="24"/>
          <w:szCs w:val="24"/>
          <w:lang w:val="zh-CN"/>
        </w:rPr>
      </w:pPr>
      <w:r>
        <w:rPr>
          <w:rFonts w:cs="Times New Roman" w:asciiTheme="minorEastAsia" w:hAnsiTheme="minorEastAsia"/>
          <w:sz w:val="24"/>
          <w:szCs w:val="24"/>
          <w:lang w:val="zh-CN"/>
        </w:rPr>
        <w:t>招标文件规定</w:t>
      </w:r>
      <w:r>
        <w:rPr>
          <w:rFonts w:hint="eastAsia" w:cs="Times New Roman" w:asciiTheme="minorEastAsia" w:hAnsiTheme="minorEastAsia"/>
          <w:sz w:val="24"/>
          <w:szCs w:val="24"/>
          <w:lang w:val="zh-CN"/>
        </w:rPr>
        <w:t>项目非主体、非关键性工作中标后可以分包</w:t>
      </w:r>
      <w:r>
        <w:rPr>
          <w:rFonts w:cs="Times New Roman" w:asciiTheme="minorEastAsia" w:hAnsiTheme="minorEastAsia"/>
          <w:sz w:val="24"/>
          <w:szCs w:val="24"/>
          <w:lang w:val="zh-CN"/>
        </w:rPr>
        <w:t>的，投标人拟在中标后将项目的非主体、非关键性工作分包，应当在投标文件中载明</w:t>
      </w:r>
      <w:r>
        <w:rPr>
          <w:rFonts w:hint="eastAsia" w:cs="Times New Roman" w:asciiTheme="minorEastAsia" w:hAnsiTheme="minorEastAsia"/>
          <w:sz w:val="24"/>
          <w:szCs w:val="24"/>
          <w:lang w:val="zh-CN"/>
        </w:rPr>
        <w:t>具备相应资质条件的</w:t>
      </w:r>
      <w:r>
        <w:rPr>
          <w:rFonts w:cs="Times New Roman" w:asciiTheme="minorEastAsia" w:hAnsiTheme="minorEastAsia"/>
          <w:sz w:val="24"/>
          <w:szCs w:val="24"/>
          <w:lang w:val="zh-CN"/>
        </w:rPr>
        <w:t>分包承担主体，分包承担主体不得再次分包。</w:t>
      </w:r>
      <w:r>
        <w:rPr>
          <w:rFonts w:hint="eastAsia" w:cs="Times New Roman" w:asciiTheme="minorEastAsia" w:hAnsiTheme="minorEastAsia"/>
          <w:sz w:val="24"/>
          <w:szCs w:val="24"/>
          <w:lang w:val="zh-CN"/>
        </w:rPr>
        <w:t>否则中标后不允许分包。</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联合体投标</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两个及以上</w:t>
      </w:r>
      <w:r>
        <w:rPr>
          <w:rFonts w:hint="eastAsia" w:cs="Times New Roman" w:asciiTheme="minorEastAsia" w:hAnsiTheme="minorEastAsia"/>
          <w:sz w:val="24"/>
          <w:szCs w:val="24"/>
        </w:rPr>
        <w:t>投标人</w:t>
      </w:r>
      <w:r>
        <w:rPr>
          <w:rFonts w:hint="eastAsia" w:cs="Times New Roman" w:asciiTheme="minorEastAsia" w:hAnsiTheme="minorEastAsia"/>
          <w:sz w:val="24"/>
          <w:szCs w:val="24"/>
          <w:lang w:val="zh-CN"/>
        </w:rPr>
        <w:t>可以组成一个联合体，以一个投标人的身份共同参与投标。</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采取联合体形式投标的，联合体各方均应当符合政府采购法第二十二条第一款规定的条件。联合体的主体应完全满足项目投标人资格要求。</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联合体各方之间应签订联合投标协议，明确约定联合体主体及各方承担的工作和相应的责任，其投标文件中应提供联合投标协议。</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以联合体形式参加政府采购活动的，联合体各方不得再单独参加或者与其他</w:t>
      </w:r>
      <w:r>
        <w:rPr>
          <w:rFonts w:hint="eastAsia" w:cs="Times New Roman" w:asciiTheme="minorEastAsia" w:hAnsiTheme="minorEastAsia"/>
          <w:sz w:val="24"/>
          <w:szCs w:val="24"/>
        </w:rPr>
        <w:t>投标人</w:t>
      </w:r>
      <w:r>
        <w:rPr>
          <w:rFonts w:hint="eastAsia" w:cs="Times New Roman" w:asciiTheme="minorEastAsia" w:hAnsiTheme="minorEastAsia"/>
          <w:sz w:val="24"/>
          <w:szCs w:val="24"/>
          <w:lang w:val="zh-CN"/>
        </w:rPr>
        <w:t>另外组成联合体参加同一合同项下的政府采购活动。</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采取联合体形式投标的，其投标文件应由联合体所有成员或其各自正式书面授权的代表签署（盖章），以便对所有成员作为整体及作为个体均具有法律约束力。</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采取联合体形式投标的，项目评审时只对联合体主体进行评议。</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联合体中标的，联合体各方应当共同与采购人</w:t>
      </w:r>
      <w:r>
        <w:rPr>
          <w:rFonts w:hint="eastAsia" w:cs="Times New Roman" w:asciiTheme="minorEastAsia" w:hAnsiTheme="minorEastAsia"/>
          <w:color w:val="0C0C0C" w:themeColor="text1" w:themeTint="F2"/>
          <w:sz w:val="24"/>
          <w:szCs w:val="24"/>
          <w:lang w:val="zh-CN"/>
        </w:rPr>
        <w:t>签订采购合同，</w:t>
      </w:r>
      <w:r>
        <w:rPr>
          <w:rFonts w:hint="eastAsia" w:ascii="宋体" w:hAnsi="宋体"/>
          <w:color w:val="0C0C0C" w:themeColor="text1" w:themeTint="F2"/>
          <w:sz w:val="24"/>
        </w:rPr>
        <w:t>就采购合同约定的事项对采购人承担连带责任，</w:t>
      </w:r>
      <w:r>
        <w:rPr>
          <w:rFonts w:hint="eastAsia" w:cs="Times New Roman" w:asciiTheme="minorEastAsia" w:hAnsiTheme="minorEastAsia"/>
          <w:color w:val="0C0C0C" w:themeColor="text1" w:themeTint="F2"/>
          <w:sz w:val="24"/>
          <w:szCs w:val="24"/>
          <w:lang w:val="zh-CN"/>
        </w:rPr>
        <w:t>联合体主体单位负主要</w:t>
      </w:r>
      <w:r>
        <w:rPr>
          <w:rFonts w:hint="eastAsia" w:cs="Times New Roman" w:asciiTheme="minorEastAsia" w:hAnsiTheme="minorEastAsia"/>
          <w:sz w:val="24"/>
          <w:szCs w:val="24"/>
          <w:lang w:val="zh-CN"/>
        </w:rPr>
        <w:t>责任。</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联合体中有同类资质的</w:t>
      </w:r>
      <w:r>
        <w:rPr>
          <w:rFonts w:hint="eastAsia" w:cs="Times New Roman" w:asciiTheme="minorEastAsia" w:hAnsiTheme="minorEastAsia"/>
          <w:sz w:val="24"/>
          <w:szCs w:val="24"/>
        </w:rPr>
        <w:t>投标人</w:t>
      </w:r>
      <w:r>
        <w:rPr>
          <w:rFonts w:hint="eastAsia" w:cs="Times New Roman" w:asciiTheme="minorEastAsia" w:hAnsiTheme="minorEastAsia"/>
          <w:sz w:val="24"/>
          <w:szCs w:val="24"/>
          <w:lang w:val="zh-CN"/>
        </w:rPr>
        <w:t>按照联合体分工承担相同工作的，应当按照资质等级较低的</w:t>
      </w:r>
      <w:r>
        <w:rPr>
          <w:rFonts w:hint="eastAsia" w:cs="Times New Roman" w:asciiTheme="minorEastAsia" w:hAnsiTheme="minorEastAsia"/>
          <w:sz w:val="24"/>
          <w:szCs w:val="24"/>
        </w:rPr>
        <w:t>投标人</w:t>
      </w:r>
      <w:r>
        <w:rPr>
          <w:rFonts w:hint="eastAsia" w:cs="Times New Roman" w:asciiTheme="minorEastAsia" w:hAnsiTheme="minorEastAsia"/>
          <w:sz w:val="24"/>
          <w:szCs w:val="24"/>
          <w:lang w:val="zh-CN"/>
        </w:rPr>
        <w:t>确定资质等级。</w:t>
      </w:r>
    </w:p>
    <w:p>
      <w:pPr>
        <w:numPr>
          <w:ilvl w:val="0"/>
          <w:numId w:val="16"/>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招标文件第一章“投标人资格要求”中</w:t>
      </w:r>
      <w:r>
        <w:rPr>
          <w:rFonts w:cs="Times New Roman" w:asciiTheme="minorEastAsia" w:hAnsiTheme="minorEastAsia"/>
          <w:sz w:val="24"/>
          <w:szCs w:val="24"/>
          <w:lang w:val="zh-CN"/>
        </w:rPr>
        <w:t>未载明</w:t>
      </w:r>
      <w:r>
        <w:rPr>
          <w:rFonts w:hint="eastAsia" w:cs="Times New Roman" w:asciiTheme="minorEastAsia" w:hAnsiTheme="minorEastAsia"/>
          <w:sz w:val="24"/>
          <w:szCs w:val="24"/>
          <w:lang w:val="zh-CN"/>
        </w:rPr>
        <w:t>是否接受联合体投标的</w:t>
      </w:r>
      <w:r>
        <w:rPr>
          <w:rFonts w:cs="Times New Roman" w:asciiTheme="minorEastAsia" w:hAnsiTheme="minorEastAsia"/>
          <w:sz w:val="24"/>
          <w:szCs w:val="24"/>
          <w:lang w:val="zh-CN"/>
        </w:rPr>
        <w:t>，</w:t>
      </w:r>
      <w:r>
        <w:rPr>
          <w:rFonts w:hint="eastAsia" w:cs="Times New Roman" w:asciiTheme="minorEastAsia" w:hAnsiTheme="minorEastAsia"/>
          <w:sz w:val="24"/>
          <w:szCs w:val="24"/>
          <w:lang w:val="zh-CN"/>
        </w:rPr>
        <w:t>视同接受</w:t>
      </w:r>
      <w:r>
        <w:rPr>
          <w:rFonts w:cs="Times New Roman" w:asciiTheme="minorEastAsia" w:hAnsiTheme="minorEastAsia"/>
          <w:sz w:val="24"/>
          <w:szCs w:val="24"/>
          <w:lang w:val="zh-CN"/>
        </w:rPr>
        <w:t>。</w:t>
      </w:r>
    </w:p>
    <w:p>
      <w:pPr>
        <w:numPr>
          <w:ilvl w:val="0"/>
          <w:numId w:val="16"/>
        </w:numPr>
        <w:spacing w:line="360" w:lineRule="auto"/>
        <w:ind w:left="728" w:hanging="728"/>
        <w:rPr>
          <w:rFonts w:cs="Times New Roman" w:asciiTheme="minorEastAsia" w:hAnsiTheme="minorEastAsia"/>
          <w:sz w:val="24"/>
          <w:szCs w:val="24"/>
          <w:lang w:val="zh-CN"/>
        </w:rPr>
      </w:pPr>
      <w:r>
        <w:rPr>
          <w:rFonts w:hint="eastAsia" w:cs="Times New Roman" w:asciiTheme="minorEastAsia" w:hAnsiTheme="minorEastAsia"/>
          <w:sz w:val="24"/>
          <w:szCs w:val="24"/>
          <w:lang w:val="zh-CN"/>
        </w:rPr>
        <w:t>以联合体形式参与投标的，其价格扣除相关规定详见第五章“评标方法、程序及标准”。</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资格证明文件</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资格证明文件应真实、合法，并就此承担相应法律责任。</w:t>
      </w:r>
    </w:p>
    <w:p>
      <w:pPr>
        <w:numPr>
          <w:ilvl w:val="0"/>
          <w:numId w:val="17"/>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资格证明文件正本应为清晰彩色影印件且加盖单位公章，否则按照</w:t>
      </w:r>
      <w:r>
        <w:rPr>
          <w:rFonts w:hint="eastAsia" w:cs="Times New Roman" w:asciiTheme="minorEastAsia" w:hAnsiTheme="minorEastAsia"/>
          <w:b/>
          <w:bCs/>
          <w:sz w:val="24"/>
          <w:szCs w:val="24"/>
          <w:lang w:val="zh-CN"/>
        </w:rPr>
        <w:t>无效投标处理。</w:t>
      </w:r>
      <w:r>
        <w:rPr>
          <w:rFonts w:hint="eastAsia" w:cs="Times New Roman" w:asciiTheme="minorEastAsia" w:hAnsiTheme="minorEastAsia"/>
          <w:sz w:val="24"/>
          <w:szCs w:val="24"/>
          <w:lang w:val="zh-CN"/>
        </w:rPr>
        <w:t>副本可为正本的复印件,但应在副本封面加盖单位公章。</w:t>
      </w:r>
    </w:p>
    <w:p>
      <w:pPr>
        <w:numPr>
          <w:ilvl w:val="0"/>
          <w:numId w:val="17"/>
        </w:numPr>
        <w:spacing w:line="360" w:lineRule="auto"/>
        <w:ind w:left="616" w:hanging="616"/>
        <w:rPr>
          <w:rFonts w:cs="Times New Roman" w:asciiTheme="minorEastAsia" w:hAnsiTheme="minorEastAsia"/>
          <w:sz w:val="24"/>
          <w:szCs w:val="24"/>
          <w:lang w:val="zh-CN"/>
        </w:rPr>
      </w:pPr>
      <w:r>
        <w:rPr>
          <w:rFonts w:hint="eastAsia" w:cs="Helvetica" w:asciiTheme="minorEastAsia" w:hAnsiTheme="minorEastAsia"/>
          <w:kern w:val="0"/>
          <w:sz w:val="24"/>
          <w:szCs w:val="24"/>
          <w:lang w:val="zh-CN"/>
        </w:rPr>
        <w:t>资格证明文件内容详见</w:t>
      </w:r>
      <w:r>
        <w:rPr>
          <w:rFonts w:hint="eastAsia" w:cs="Times New Roman" w:asciiTheme="minorEastAsia" w:hAnsiTheme="minorEastAsia"/>
          <w:sz w:val="24"/>
          <w:szCs w:val="24"/>
          <w:lang w:val="zh-CN"/>
        </w:rPr>
        <w:t>第四章“资格审查方法及标准”中资格审查内容</w:t>
      </w:r>
      <w:r>
        <w:rPr>
          <w:rFonts w:hint="eastAsia" w:cs="Helvetica" w:asciiTheme="minorEastAsia" w:hAnsiTheme="minorEastAsia"/>
          <w:kern w:val="0"/>
          <w:sz w:val="24"/>
          <w:szCs w:val="24"/>
          <w:lang w:val="zh-CN"/>
        </w:rPr>
        <w:t>。</w:t>
      </w:r>
    </w:p>
    <w:p>
      <w:pPr>
        <w:numPr>
          <w:ilvl w:val="0"/>
          <w:numId w:val="5"/>
        </w:numPr>
        <w:spacing w:line="360" w:lineRule="auto"/>
        <w:ind w:left="560" w:hanging="560"/>
        <w:rPr>
          <w:rFonts w:cs="Times New Roman" w:asciiTheme="minorEastAsia" w:hAnsiTheme="minorEastAsia"/>
          <w:sz w:val="24"/>
          <w:szCs w:val="24"/>
          <w:lang w:val="zh-CN"/>
        </w:rPr>
      </w:pPr>
      <w:r>
        <w:rPr>
          <w:rFonts w:hint="eastAsia" w:cs="Times New Roman" w:asciiTheme="minorEastAsia" w:hAnsiTheme="minorEastAsia"/>
          <w:b/>
          <w:sz w:val="24"/>
          <w:szCs w:val="24"/>
          <w:lang w:val="zh-CN"/>
        </w:rPr>
        <w:t>投标保证金：</w:t>
      </w:r>
      <w:r>
        <w:rPr>
          <w:rFonts w:hint="eastAsia" w:cs="Times New Roman" w:asciiTheme="minorEastAsia" w:hAnsiTheme="minorEastAsia"/>
          <w:bCs/>
          <w:sz w:val="24"/>
          <w:szCs w:val="24"/>
          <w:lang w:val="zh-CN"/>
        </w:rPr>
        <w:t>无</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投标有效期</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投标有效期详见本章“投标须知前附表”中规定。</w:t>
      </w:r>
      <w:r>
        <w:rPr>
          <w:rFonts w:cs="Helvetica" w:asciiTheme="minorEastAsia" w:hAnsiTheme="minorEastAsia"/>
          <w:kern w:val="0"/>
          <w:sz w:val="24"/>
          <w:szCs w:val="24"/>
          <w:lang w:val="zh-CN"/>
        </w:rPr>
        <w:t>投标文件中承诺的投标有效期应当不少于招标文件中载明的投标有效期</w:t>
      </w:r>
      <w:r>
        <w:rPr>
          <w:rFonts w:hint="eastAsia" w:cs="Helvetica" w:asciiTheme="minorEastAsia" w:hAnsiTheme="minorEastAsia"/>
          <w:kern w:val="0"/>
          <w:sz w:val="24"/>
          <w:szCs w:val="24"/>
          <w:lang w:val="zh-CN"/>
        </w:rPr>
        <w:t>。投标有效期不足的，</w:t>
      </w:r>
      <w:r>
        <w:rPr>
          <w:rFonts w:hint="eastAsia" w:cs="Times New Roman" w:asciiTheme="minorEastAsia" w:hAnsiTheme="minorEastAsia"/>
          <w:sz w:val="24"/>
          <w:szCs w:val="24"/>
          <w:lang w:val="zh-CN"/>
        </w:rPr>
        <w:t>按照</w:t>
      </w:r>
      <w:r>
        <w:rPr>
          <w:rFonts w:hint="eastAsia" w:cs="Times New Roman" w:asciiTheme="minorEastAsia" w:hAnsiTheme="minorEastAsia"/>
          <w:b/>
          <w:bCs/>
          <w:sz w:val="24"/>
          <w:szCs w:val="24"/>
          <w:lang w:val="zh-CN"/>
        </w:rPr>
        <w:t>无效投标处理。</w:t>
      </w:r>
    </w:p>
    <w:p>
      <w:pPr>
        <w:numPr>
          <w:ilvl w:val="0"/>
          <w:numId w:val="18"/>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特殊情况下，在原投标有效期截止之前，</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或采购人可要求投标人延长投标有效期。这种要求与答复均应以书面形式提交。投标人可拒绝</w:t>
      </w:r>
      <w:r>
        <w:rPr>
          <w:rFonts w:hint="eastAsia" w:ascii="宋体" w:hAnsi="宋体" w:eastAsia="宋体" w:cs="Times New Roman"/>
          <w:sz w:val="24"/>
          <w:szCs w:val="20"/>
          <w:lang w:val="zh-CN"/>
        </w:rPr>
        <w:t>采购代理机构</w:t>
      </w:r>
      <w:r>
        <w:rPr>
          <w:rFonts w:hint="eastAsia" w:cs="Times New Roman" w:asciiTheme="minorEastAsia" w:hAnsiTheme="minorEastAsia"/>
          <w:sz w:val="24"/>
          <w:szCs w:val="24"/>
          <w:lang w:val="zh-CN"/>
        </w:rPr>
        <w:t>或采购人的这种要求，但其投标在原投标有效期期满后将不再有效。同意延长投标有效期的投标人不会被要求和允许修正其投标内容。</w:t>
      </w:r>
    </w:p>
    <w:p>
      <w:pPr>
        <w:numPr>
          <w:ilvl w:val="0"/>
          <w:numId w:val="5"/>
        </w:numPr>
        <w:spacing w:line="360" w:lineRule="auto"/>
        <w:ind w:left="560" w:hanging="560"/>
        <w:rPr>
          <w:rFonts w:cs="Times New Roman" w:asciiTheme="minorEastAsia" w:hAnsiTheme="minorEastAsia"/>
          <w:b/>
          <w:sz w:val="24"/>
          <w:szCs w:val="24"/>
          <w:lang w:val="zh-CN"/>
        </w:rPr>
      </w:pPr>
      <w:r>
        <w:rPr>
          <w:rFonts w:hint="eastAsia" w:cs="Times New Roman" w:asciiTheme="minorEastAsia" w:hAnsiTheme="minorEastAsia"/>
          <w:b/>
          <w:sz w:val="24"/>
          <w:szCs w:val="24"/>
          <w:lang w:val="zh-CN"/>
        </w:rPr>
        <w:t>投标文件的数量和签署</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9"/>
        </w:numPr>
        <w:spacing w:line="360" w:lineRule="auto"/>
        <w:ind w:left="616" w:hanging="61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投标文件中任何涂改和增删，应由法定代表人或经其正式授权的代表在旁边签字后方为有效。</w:t>
      </w:r>
    </w:p>
    <w:p>
      <w:pPr>
        <w:numPr>
          <w:ilvl w:val="0"/>
          <w:numId w:val="19"/>
        </w:numPr>
        <w:spacing w:line="360" w:lineRule="auto"/>
        <w:ind w:left="616" w:hanging="616"/>
        <w:rPr>
          <w:rFonts w:cs="Times New Roman" w:asciiTheme="minorEastAsia" w:hAnsiTheme="minorEastAsia"/>
          <w:bCs/>
          <w:sz w:val="24"/>
          <w:szCs w:val="24"/>
          <w:lang w:val="zh-CN"/>
        </w:rPr>
      </w:pPr>
      <w:r>
        <w:rPr>
          <w:rFonts w:hint="eastAsia" w:cs="Times New Roman" w:asciiTheme="minorEastAsia" w:hAnsiTheme="minorEastAsia"/>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sz w:val="24"/>
          <w:szCs w:val="24"/>
          <w:lang w:val="zh-CN"/>
        </w:rPr>
        <w:t>无效投标处理。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投标文件的密封和标记</w:t>
      </w:r>
    </w:p>
    <w:p>
      <w:pPr>
        <w:numPr>
          <w:ilvl w:val="0"/>
          <w:numId w:val="20"/>
        </w:numPr>
        <w:spacing w:line="360" w:lineRule="auto"/>
        <w:ind w:left="618" w:hanging="618"/>
        <w:rPr>
          <w:rFonts w:ascii="宋体" w:hAnsi="宋体" w:eastAsia="宋体" w:cs="Times New Roman"/>
          <w:b/>
          <w:bCs/>
          <w:sz w:val="24"/>
          <w:szCs w:val="20"/>
          <w:lang w:val="zh-CN"/>
        </w:rPr>
      </w:pPr>
      <w:r>
        <w:rPr>
          <w:rFonts w:hint="eastAsia" w:ascii="宋体" w:hAnsi="宋体" w:eastAsia="宋体" w:cs="Times New Roman"/>
          <w:sz w:val="24"/>
          <w:szCs w:val="20"/>
          <w:lang w:val="zh-CN"/>
        </w:rPr>
        <w:t>投标文件包括第一部分资格证明文件，第二部分商务文件，第三部分技术、服务文件, 上述三部分应分别密封在独立封包中，并在封包上标明各部分名称，每个封包内应包括正本1份、副本</w:t>
      </w:r>
      <w:r>
        <w:rPr>
          <w:rFonts w:hint="eastAsia" w:ascii="宋体" w:hAnsi="宋体" w:eastAsia="宋体" w:cs="Times New Roman"/>
          <w:sz w:val="24"/>
          <w:szCs w:val="20"/>
        </w:rPr>
        <w:t>4</w:t>
      </w:r>
      <w:r>
        <w:rPr>
          <w:rFonts w:hint="eastAsia" w:ascii="宋体" w:hAnsi="宋体" w:eastAsia="宋体" w:cs="Times New Roman"/>
          <w:sz w:val="24"/>
          <w:szCs w:val="20"/>
          <w:lang w:val="zh-CN"/>
        </w:rPr>
        <w:t>份。</w:t>
      </w:r>
      <w:r>
        <w:rPr>
          <w:rFonts w:hint="eastAsia" w:ascii="宋体" w:hAnsi="宋体" w:eastAsia="宋体" w:cs="Times New Roman"/>
          <w:b/>
          <w:bCs/>
          <w:sz w:val="24"/>
          <w:szCs w:val="20"/>
          <w:lang w:val="zh-CN"/>
        </w:rPr>
        <w:t>（</w:t>
      </w:r>
      <w:r>
        <w:rPr>
          <w:rFonts w:hint="eastAsia" w:cs="Times New Roman" w:asciiTheme="minorEastAsia" w:hAnsiTheme="minorEastAsia"/>
          <w:b/>
          <w:bCs/>
          <w:sz w:val="24"/>
          <w:szCs w:val="24"/>
          <w:lang w:val="zh-CN"/>
        </w:rPr>
        <w:t>如</w:t>
      </w:r>
      <w:r>
        <w:rPr>
          <w:rFonts w:hint="eastAsia" w:cs="Helvetica" w:asciiTheme="minorEastAsia" w:hAnsiTheme="minorEastAsia"/>
          <w:b/>
          <w:bCs/>
          <w:kern w:val="0"/>
          <w:sz w:val="24"/>
          <w:szCs w:val="24"/>
          <w:lang w:val="zh-CN"/>
        </w:rPr>
        <w:t>采购人已组织过项目资格预审的，投标人无需再提交资格证明文件</w:t>
      </w:r>
      <w:r>
        <w:rPr>
          <w:rFonts w:hint="eastAsia" w:ascii="宋体" w:hAnsi="宋体" w:eastAsia="宋体" w:cs="Times New Roman"/>
          <w:b/>
          <w:bCs/>
          <w:sz w:val="24"/>
          <w:szCs w:val="20"/>
          <w:lang w:val="zh-CN"/>
        </w:rPr>
        <w:t>）</w:t>
      </w:r>
    </w:p>
    <w:p>
      <w:pPr>
        <w:numPr>
          <w:ilvl w:val="0"/>
          <w:numId w:val="21"/>
        </w:numPr>
        <w:spacing w:line="360" w:lineRule="auto"/>
        <w:ind w:left="981" w:hanging="856"/>
        <w:rPr>
          <w:rFonts w:cs="Times New Roman" w:asciiTheme="minorEastAsia" w:hAnsiTheme="minorEastAsia"/>
          <w:sz w:val="24"/>
          <w:szCs w:val="24"/>
          <w:lang w:val="zh-CN"/>
        </w:rPr>
      </w:pPr>
      <w:r>
        <w:rPr>
          <w:rFonts w:hint="eastAsia" w:cs="Times New Roman" w:asciiTheme="minorEastAsia" w:hAnsiTheme="minorEastAsia"/>
          <w:sz w:val="24"/>
          <w:szCs w:val="24"/>
          <w:lang w:val="zh-CN"/>
        </w:rPr>
        <w:t>资格证明文件正本1份、副本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份，密封在“资格证明文件”封包内</w:t>
      </w:r>
      <w:r>
        <w:rPr>
          <w:rFonts w:hint="eastAsia" w:cs="Times New Roman" w:asciiTheme="minorEastAsia" w:hAnsiTheme="minorEastAsia"/>
          <w:sz w:val="24"/>
          <w:szCs w:val="24"/>
        </w:rPr>
        <w:t>，封包上注明“第一部分 资格证明文件”</w:t>
      </w:r>
      <w:r>
        <w:rPr>
          <w:rFonts w:hint="eastAsia" w:cs="Times New Roman" w:asciiTheme="minorEastAsia" w:hAnsiTheme="minorEastAsia"/>
          <w:sz w:val="24"/>
          <w:szCs w:val="24"/>
          <w:lang w:val="zh-CN"/>
        </w:rPr>
        <w:t>；</w:t>
      </w:r>
    </w:p>
    <w:p>
      <w:pPr>
        <w:numPr>
          <w:ilvl w:val="0"/>
          <w:numId w:val="21"/>
        </w:numPr>
        <w:spacing w:line="360" w:lineRule="auto"/>
        <w:ind w:left="981" w:hanging="856"/>
        <w:rPr>
          <w:rFonts w:cs="Times New Roman" w:asciiTheme="minorEastAsia" w:hAnsiTheme="minorEastAsia"/>
          <w:sz w:val="24"/>
          <w:szCs w:val="24"/>
          <w:lang w:val="zh-CN"/>
        </w:rPr>
      </w:pPr>
      <w:r>
        <w:rPr>
          <w:rFonts w:hint="eastAsia" w:cs="Times New Roman" w:asciiTheme="minorEastAsia" w:hAnsiTheme="minorEastAsia"/>
          <w:sz w:val="24"/>
          <w:szCs w:val="24"/>
          <w:lang w:val="zh-CN"/>
        </w:rPr>
        <w:t>商务文件正本1份、副本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份，密封在“商务文件”封包内，</w:t>
      </w:r>
      <w:r>
        <w:rPr>
          <w:rFonts w:hint="eastAsia" w:cs="Times New Roman" w:asciiTheme="minorEastAsia" w:hAnsiTheme="minorEastAsia"/>
          <w:sz w:val="24"/>
          <w:szCs w:val="24"/>
        </w:rPr>
        <w:t>封包上注明“第二部分 商务文件”</w:t>
      </w:r>
      <w:r>
        <w:rPr>
          <w:rFonts w:hint="eastAsia" w:cs="Times New Roman" w:asciiTheme="minorEastAsia" w:hAnsiTheme="minorEastAsia"/>
          <w:sz w:val="24"/>
          <w:szCs w:val="24"/>
          <w:lang w:val="zh-CN"/>
        </w:rPr>
        <w:t>；</w:t>
      </w:r>
    </w:p>
    <w:p>
      <w:pPr>
        <w:numPr>
          <w:ilvl w:val="0"/>
          <w:numId w:val="21"/>
        </w:numPr>
        <w:spacing w:line="360" w:lineRule="auto"/>
        <w:ind w:left="981" w:hanging="856"/>
        <w:rPr>
          <w:rFonts w:cs="Times New Roman" w:asciiTheme="minorEastAsia" w:hAnsiTheme="minorEastAsia"/>
          <w:sz w:val="24"/>
          <w:szCs w:val="24"/>
          <w:lang w:val="zh-CN"/>
        </w:rPr>
      </w:pPr>
      <w:r>
        <w:rPr>
          <w:rFonts w:hint="eastAsia" w:cs="Times New Roman" w:asciiTheme="minorEastAsia" w:hAnsiTheme="minorEastAsia"/>
          <w:sz w:val="24"/>
          <w:szCs w:val="24"/>
          <w:lang w:val="zh-CN"/>
        </w:rPr>
        <w:t>技术、服务文件正本1份、副本</w:t>
      </w:r>
      <w:r>
        <w:rPr>
          <w:rFonts w:hint="eastAsia" w:cs="Times New Roman" w:asciiTheme="minorEastAsia" w:hAnsiTheme="minorEastAsia"/>
          <w:sz w:val="24"/>
          <w:szCs w:val="24"/>
        </w:rPr>
        <w:t>4</w:t>
      </w:r>
      <w:r>
        <w:rPr>
          <w:rFonts w:hint="eastAsia" w:cs="Times New Roman" w:asciiTheme="minorEastAsia" w:hAnsiTheme="minorEastAsia"/>
          <w:sz w:val="24"/>
          <w:szCs w:val="24"/>
          <w:lang w:val="zh-CN"/>
        </w:rPr>
        <w:t>份，密封在“技术、服务文件”封包内，</w:t>
      </w:r>
      <w:r>
        <w:rPr>
          <w:rFonts w:hint="eastAsia" w:cs="Times New Roman" w:asciiTheme="minorEastAsia" w:hAnsiTheme="minorEastAsia"/>
          <w:sz w:val="24"/>
          <w:szCs w:val="24"/>
        </w:rPr>
        <w:t>封包上注明“第三部分 技术、服务文件”</w:t>
      </w:r>
      <w:r>
        <w:rPr>
          <w:rFonts w:hint="eastAsia" w:cs="Times New Roman" w:asciiTheme="minorEastAsia" w:hAnsiTheme="minorEastAsia"/>
          <w:sz w:val="24"/>
          <w:szCs w:val="24"/>
          <w:lang w:val="zh-CN"/>
        </w:rPr>
        <w:t>。</w:t>
      </w:r>
    </w:p>
    <w:p>
      <w:pPr>
        <w:numPr>
          <w:ilvl w:val="0"/>
          <w:numId w:val="20"/>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sz w:val="24"/>
          <w:szCs w:val="20"/>
          <w:lang w:val="zh-CN"/>
        </w:rPr>
        <w:t>为方便开标时唱标，投标人应将《开标一览表》原件一份</w:t>
      </w:r>
      <w:r>
        <w:rPr>
          <w:rFonts w:hint="eastAsia" w:ascii="宋体" w:hAnsi="宋体" w:eastAsia="宋体" w:cs="Times New Roman"/>
          <w:spacing w:val="-6"/>
          <w:kern w:val="0"/>
          <w:sz w:val="24"/>
          <w:szCs w:val="20"/>
          <w:lang w:val="zh-CN"/>
        </w:rPr>
        <w:t>装入一个信封，单独密封提交</w:t>
      </w:r>
      <w:r>
        <w:rPr>
          <w:rFonts w:hint="eastAsia" w:ascii="宋体" w:hAnsi="宋体" w:eastAsia="宋体" w:cs="Times New Roman"/>
          <w:sz w:val="24"/>
          <w:szCs w:val="20"/>
          <w:lang w:val="zh-CN"/>
        </w:rPr>
        <w:t>，并在信封上注明“开标一览表”字样。未单独提交或单独提交的上述资料未按照招标文件规定的格式填写完整并签字、盖章的采购代理机构</w:t>
      </w:r>
      <w:r>
        <w:rPr>
          <w:rFonts w:hint="eastAsia" w:ascii="宋体" w:hAnsi="宋体" w:eastAsia="宋体" w:cs="Times New Roman"/>
          <w:b/>
          <w:bCs/>
          <w:sz w:val="24"/>
          <w:szCs w:val="20"/>
          <w:lang w:val="zh-CN"/>
        </w:rPr>
        <w:t>拒绝</w:t>
      </w:r>
      <w:r>
        <w:rPr>
          <w:rFonts w:hint="eastAsia" w:ascii="宋体" w:hAnsi="宋体" w:eastAsia="宋体" w:cs="Times New Roman"/>
          <w:sz w:val="24"/>
          <w:szCs w:val="20"/>
          <w:lang w:val="zh-CN"/>
        </w:rPr>
        <w:t>其投标。</w:t>
      </w:r>
    </w:p>
    <w:p>
      <w:pPr>
        <w:numPr>
          <w:ilvl w:val="0"/>
          <w:numId w:val="20"/>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“开标一览表”信封和投标文件各部分的封包上还应注明采购项目编号、项目名称、投标内容和有“在（招标文件中规定的开标日期和时间）之前不得启封”的字样，封口处加盖投标人公章。</w:t>
      </w:r>
    </w:p>
    <w:p>
      <w:pPr>
        <w:numPr>
          <w:ilvl w:val="0"/>
          <w:numId w:val="20"/>
        </w:numPr>
        <w:spacing w:line="360" w:lineRule="auto"/>
        <w:ind w:left="618" w:hanging="618"/>
        <w:rPr>
          <w:rFonts w:ascii="宋体" w:hAnsi="宋体" w:eastAsia="宋体" w:cs="Times New Roman"/>
          <w:sz w:val="24"/>
          <w:szCs w:val="20"/>
          <w:lang w:val="zh-CN"/>
        </w:rPr>
      </w:pPr>
      <w:r>
        <w:rPr>
          <w:rFonts w:hint="eastAsia" w:ascii="宋体" w:hAnsi="宋体" w:eastAsia="宋体" w:cs="Times New Roman"/>
          <w:sz w:val="24"/>
          <w:szCs w:val="20"/>
          <w:lang w:val="zh-CN"/>
        </w:rPr>
        <w:t>未按要求密封、标记或存在错误，采购代理机构对其误投或提前启封概不负责。</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投标文件递交</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投标人应在不迟于投标邀请书中规定的投标截止日期和时间将投标文件密封递交至</w:t>
      </w:r>
      <w:r>
        <w:rPr>
          <w:rFonts w:hint="eastAsia" w:ascii="Helvetica" w:hAnsi="Helvetica" w:eastAsia="宋体" w:cs="Helvetica"/>
          <w:color w:val="FF0000"/>
          <w:kern w:val="0"/>
          <w:sz w:val="24"/>
          <w:szCs w:val="24"/>
          <w:lang w:val="zh-CN"/>
        </w:rPr>
        <w:t>采购人（或代理公司）</w:t>
      </w:r>
      <w:r>
        <w:rPr>
          <w:rFonts w:hint="eastAsia" w:ascii="Helvetica" w:hAnsi="Helvetica" w:eastAsia="宋体" w:cs="Helvetica"/>
          <w:kern w:val="0"/>
          <w:sz w:val="24"/>
          <w:szCs w:val="24"/>
          <w:lang w:val="zh-CN"/>
        </w:rPr>
        <w:t>规定的投标地点。</w:t>
      </w:r>
    </w:p>
    <w:p>
      <w:pPr>
        <w:numPr>
          <w:ilvl w:val="0"/>
          <w:numId w:val="22"/>
        </w:numPr>
        <w:spacing w:line="360" w:lineRule="auto"/>
        <w:ind w:left="616" w:hanging="616"/>
        <w:rPr>
          <w:rFonts w:ascii="Helvetica" w:hAnsi="Helvetica" w:eastAsia="宋体" w:cs="Helvetica"/>
          <w:b/>
          <w:kern w:val="0"/>
          <w:sz w:val="24"/>
          <w:szCs w:val="24"/>
          <w:lang w:val="zh-CN"/>
        </w:rPr>
      </w:pPr>
      <w:r>
        <w:rPr>
          <w:rFonts w:hint="eastAsia" w:ascii="Helvetica" w:hAnsi="Helvetica" w:eastAsia="宋体" w:cs="Helvetica"/>
          <w:color w:val="FF0000"/>
          <w:kern w:val="0"/>
          <w:sz w:val="24"/>
          <w:szCs w:val="24"/>
          <w:lang w:val="zh-CN"/>
        </w:rPr>
        <w:t>采购人（或代理公司）</w:t>
      </w:r>
      <w:r>
        <w:rPr>
          <w:rFonts w:hint="eastAsia" w:ascii="Helvetica" w:hAnsi="Helvetica" w:eastAsia="宋体" w:cs="Helvetica"/>
          <w:b/>
          <w:kern w:val="0"/>
          <w:sz w:val="24"/>
          <w:szCs w:val="24"/>
          <w:lang w:val="zh-CN"/>
        </w:rPr>
        <w:t>拒收逾期送达或者未按招标文件要求密封的投标文件。</w:t>
      </w:r>
    </w:p>
    <w:p>
      <w:pPr>
        <w:numPr>
          <w:ilvl w:val="0"/>
          <w:numId w:val="22"/>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color w:val="FF0000"/>
          <w:kern w:val="0"/>
          <w:sz w:val="24"/>
          <w:szCs w:val="24"/>
          <w:lang w:val="zh-CN"/>
        </w:rPr>
        <w:t>采购人（或代理公司）</w:t>
      </w:r>
      <w:r>
        <w:rPr>
          <w:rFonts w:ascii="Helvetica" w:hAnsi="Helvetica" w:eastAsia="宋体" w:cs="Helvetica"/>
          <w:kern w:val="0"/>
          <w:sz w:val="24"/>
          <w:szCs w:val="24"/>
          <w:lang w:val="zh-CN"/>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投标文件的修改和撤回</w:t>
      </w:r>
    </w:p>
    <w:p>
      <w:pPr>
        <w:numPr>
          <w:ilvl w:val="0"/>
          <w:numId w:val="23"/>
        </w:numPr>
        <w:spacing w:line="360" w:lineRule="auto"/>
        <w:ind w:left="616" w:hanging="616"/>
        <w:rPr>
          <w:rFonts w:ascii="宋体" w:hAnsi="宋体" w:eastAsia="宋体" w:cs="Times New Roman"/>
          <w:strike/>
          <w:sz w:val="24"/>
          <w:szCs w:val="20"/>
          <w:lang w:val="zh-CN"/>
        </w:rPr>
      </w:pPr>
      <w:r>
        <w:rPr>
          <w:rFonts w:ascii="宋体" w:hAnsi="宋体" w:eastAsia="宋体" w:cs="Times New Roman"/>
          <w:sz w:val="24"/>
          <w:szCs w:val="20"/>
          <w:lang w:val="zh-CN"/>
        </w:rPr>
        <w:t>投标人在投标截止时间前，可以对所递交的投标文件进行补充、修改或者撤回，并书面通知</w:t>
      </w:r>
      <w:r>
        <w:rPr>
          <w:rFonts w:hint="eastAsia" w:ascii="宋体" w:hAnsi="宋体" w:eastAsia="宋体" w:cs="Times New Roman"/>
          <w:sz w:val="24"/>
          <w:szCs w:val="20"/>
          <w:lang w:val="zh-CN"/>
        </w:rPr>
        <w:t>采购代理机构</w:t>
      </w:r>
      <w:r>
        <w:rPr>
          <w:rFonts w:ascii="宋体" w:hAnsi="宋体" w:eastAsia="宋体" w:cs="Times New Roman"/>
          <w:sz w:val="24"/>
          <w:szCs w:val="20"/>
          <w:lang w:val="zh-CN"/>
        </w:rPr>
        <w:t>。补充、修改的内容应当按照招标文件要求签署、盖章、密封后，作为投标文件的组成部分。</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投标有效期内投标人不得撤销其投标文件。</w:t>
      </w:r>
    </w:p>
    <w:p>
      <w:pPr>
        <w:numPr>
          <w:ilvl w:val="0"/>
          <w:numId w:val="23"/>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投标人所递交的投标文件无论中标与否不予退还。</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14" w:name="_Toc48230887"/>
      <w:bookmarkStart w:id="15" w:name="_Toc494561942"/>
      <w:bookmarkStart w:id="16" w:name="_Toc272247698"/>
      <w:bookmarkStart w:id="17" w:name="_Toc278891595"/>
      <w:r>
        <w:rPr>
          <w:rFonts w:hint="eastAsia" w:cs="Times New Roman" w:asciiTheme="majorEastAsia" w:hAnsiTheme="majorEastAsia"/>
          <w:bCs w:val="0"/>
          <w:lang w:val="zh-CN"/>
        </w:rPr>
        <w:t>开标与评标</w:t>
      </w:r>
      <w:bookmarkEnd w:id="14"/>
      <w:bookmarkEnd w:id="15"/>
      <w:bookmarkEnd w:id="16"/>
      <w:bookmarkEnd w:id="17"/>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开标</w:t>
      </w:r>
    </w:p>
    <w:p>
      <w:pPr>
        <w:numPr>
          <w:ilvl w:val="0"/>
          <w:numId w:val="24"/>
        </w:numPr>
        <w:spacing w:line="360" w:lineRule="auto"/>
        <w:ind w:left="616" w:hanging="616"/>
        <w:rPr>
          <w:rFonts w:ascii="宋体" w:hAnsi="宋体" w:eastAsia="宋体" w:cs="Times New Roman"/>
          <w:b/>
          <w:sz w:val="24"/>
          <w:szCs w:val="20"/>
          <w:lang w:val="zh-CN"/>
        </w:rPr>
      </w:pP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Cs/>
          <w:sz w:val="24"/>
          <w:szCs w:val="20"/>
          <w:lang w:val="zh-CN"/>
        </w:rPr>
        <w:t>，</w:t>
      </w:r>
      <w:r>
        <w:rPr>
          <w:rFonts w:hint="eastAsia" w:ascii="宋体" w:hAnsi="宋体" w:eastAsia="宋体" w:cs="Times New Roman"/>
          <w:b/>
          <w:sz w:val="24"/>
          <w:szCs w:val="20"/>
          <w:lang w:val="zh-CN"/>
        </w:rPr>
        <w:t>否则视同认可开标结果。</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投标人法定代表人或其授权代表应携带有效身份证明参加项目开标会，</w:t>
      </w:r>
      <w:r>
        <w:rPr>
          <w:rFonts w:ascii="宋体" w:hAnsi="宋体" w:eastAsia="宋体" w:cs="Times New Roman"/>
          <w:sz w:val="24"/>
          <w:szCs w:val="20"/>
          <w:lang w:val="zh-CN"/>
        </w:rPr>
        <w:t>投标人未参加开标的，视同认可开标结果。</w:t>
      </w:r>
      <w:r>
        <w:rPr>
          <w:rFonts w:hint="eastAsia" w:ascii="宋体" w:hAnsi="宋体" w:eastAsia="宋体" w:cs="Times New Roman"/>
          <w:sz w:val="24"/>
          <w:szCs w:val="20"/>
          <w:lang w:val="zh-CN"/>
        </w:rPr>
        <w:t>截止</w:t>
      </w:r>
      <w:r>
        <w:rPr>
          <w:rFonts w:hint="eastAsia" w:ascii="宋体" w:hAnsi="宋体" w:eastAsia="宋体" w:cs="宋体"/>
          <w:kern w:val="0"/>
          <w:sz w:val="24"/>
          <w:szCs w:val="24"/>
        </w:rPr>
        <w:t>投标文件</w:t>
      </w:r>
      <w:r>
        <w:rPr>
          <w:rFonts w:hint="eastAsia" w:ascii="宋体" w:hAnsi="宋体" w:eastAsia="宋体" w:cs="Times New Roman"/>
          <w:sz w:val="24"/>
          <w:szCs w:val="20"/>
          <w:lang w:val="zh-CN"/>
        </w:rPr>
        <w:t>递交时间，投标人不足3家的，不进行开标</w:t>
      </w:r>
      <w:r>
        <w:rPr>
          <w:rFonts w:hint="eastAsia" w:ascii="Helvetica" w:hAnsi="Helvetica" w:eastAsia="宋体" w:cs="Helvetica"/>
          <w:kern w:val="0"/>
          <w:sz w:val="24"/>
          <w:szCs w:val="24"/>
          <w:lang w:val="zh-CN"/>
        </w:rPr>
        <w:t>。</w:t>
      </w:r>
    </w:p>
    <w:p>
      <w:pPr>
        <w:numPr>
          <w:ilvl w:val="0"/>
          <w:numId w:val="24"/>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开标时，由投标人或其推选的代表检查投标文件的密封情况，经确认无误后由</w:t>
      </w:r>
      <w:r>
        <w:rPr>
          <w:rFonts w:hint="eastAsia" w:ascii="Helvetica" w:hAnsi="Helvetica" w:eastAsia="宋体" w:cs="Helvetica"/>
          <w:color w:val="FF0000"/>
          <w:kern w:val="0"/>
          <w:sz w:val="24"/>
          <w:szCs w:val="24"/>
          <w:lang w:val="zh-CN"/>
        </w:rPr>
        <w:t>采购人（或代理公司）</w:t>
      </w:r>
      <w:r>
        <w:rPr>
          <w:rFonts w:hint="eastAsia" w:ascii="宋体" w:hAnsi="宋体" w:eastAsia="宋体" w:cs="Times New Roman"/>
          <w:sz w:val="24"/>
          <w:szCs w:val="20"/>
          <w:lang w:val="zh-CN"/>
        </w:rPr>
        <w:t>工作人员当众拆封，</w:t>
      </w:r>
      <w:r>
        <w:rPr>
          <w:rFonts w:ascii="宋体" w:hAnsi="宋体" w:eastAsia="宋体" w:cs="Times New Roman"/>
          <w:sz w:val="24"/>
          <w:szCs w:val="20"/>
          <w:lang w:val="zh-CN"/>
        </w:rPr>
        <w:t>宣布投标人名称、投标价格和招标文件规定的需要宣布的其他内容。</w:t>
      </w:r>
    </w:p>
    <w:p>
      <w:pPr>
        <w:numPr>
          <w:ilvl w:val="0"/>
          <w:numId w:val="24"/>
        </w:numPr>
        <w:spacing w:line="360" w:lineRule="auto"/>
        <w:ind w:left="616" w:hanging="616"/>
        <w:rPr>
          <w:rFonts w:ascii="宋体" w:hAnsi="宋体" w:eastAsia="宋体" w:cs="Times New Roman"/>
          <w:sz w:val="24"/>
          <w:szCs w:val="20"/>
          <w:lang w:val="zh-CN"/>
        </w:rPr>
      </w:pPr>
      <w:r>
        <w:rPr>
          <w:rFonts w:hint="eastAsia" w:ascii="Helvetica" w:hAnsi="Helvetica" w:eastAsia="宋体" w:cs="Helvetica"/>
          <w:color w:val="FF0000"/>
          <w:kern w:val="0"/>
          <w:sz w:val="24"/>
          <w:szCs w:val="24"/>
          <w:lang w:val="zh-CN"/>
        </w:rPr>
        <w:t>采购人（或代理公司）</w:t>
      </w:r>
      <w:r>
        <w:rPr>
          <w:rFonts w:ascii="宋体" w:hAnsi="宋体" w:eastAsia="宋体" w:cs="Times New Roman"/>
          <w:sz w:val="24"/>
          <w:szCs w:val="20"/>
          <w:lang w:val="zh-CN"/>
        </w:rPr>
        <w:t>负责</w:t>
      </w:r>
      <w:r>
        <w:rPr>
          <w:rFonts w:hint="eastAsia" w:ascii="宋体" w:hAnsi="宋体" w:eastAsia="宋体" w:cs="Times New Roman"/>
          <w:sz w:val="24"/>
          <w:szCs w:val="20"/>
          <w:lang w:val="zh-CN"/>
        </w:rPr>
        <w:t>对</w:t>
      </w:r>
      <w:r>
        <w:rPr>
          <w:rFonts w:ascii="宋体" w:hAnsi="宋体" w:eastAsia="宋体" w:cs="Times New Roman"/>
          <w:sz w:val="24"/>
          <w:szCs w:val="20"/>
          <w:lang w:val="zh-CN"/>
        </w:rPr>
        <w:t>开标过程</w:t>
      </w:r>
      <w:r>
        <w:rPr>
          <w:rFonts w:hint="eastAsia" w:ascii="宋体" w:hAnsi="宋体" w:eastAsia="宋体" w:cs="Times New Roman"/>
          <w:sz w:val="24"/>
          <w:szCs w:val="20"/>
          <w:lang w:val="zh-CN"/>
        </w:rPr>
        <w:t>进行</w:t>
      </w:r>
      <w:r>
        <w:rPr>
          <w:rFonts w:ascii="宋体" w:hAnsi="宋体" w:eastAsia="宋体" w:cs="Times New Roman"/>
          <w:sz w:val="24"/>
          <w:szCs w:val="20"/>
          <w:lang w:val="zh-CN"/>
        </w:rPr>
        <w:t>记录，由参加开标的各投标人代表和相关工作人员</w:t>
      </w:r>
      <w:r>
        <w:rPr>
          <w:rFonts w:hint="eastAsia" w:ascii="宋体" w:hAnsi="宋体" w:eastAsia="宋体" w:cs="Times New Roman"/>
          <w:sz w:val="24"/>
          <w:szCs w:val="20"/>
          <w:lang w:val="zh-CN"/>
        </w:rPr>
        <w:t>对开标记录进行</w:t>
      </w:r>
      <w:r>
        <w:rPr>
          <w:rFonts w:ascii="宋体" w:hAnsi="宋体" w:eastAsia="宋体" w:cs="Times New Roman"/>
          <w:sz w:val="24"/>
          <w:szCs w:val="20"/>
          <w:lang w:val="zh-CN"/>
        </w:rPr>
        <w:t>签字确认。</w:t>
      </w:r>
    </w:p>
    <w:p>
      <w:pPr>
        <w:numPr>
          <w:ilvl w:val="0"/>
          <w:numId w:val="24"/>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投标人代表对开标过程和开标记录有疑义，以及认为</w:t>
      </w:r>
      <w:r>
        <w:rPr>
          <w:rFonts w:ascii="宋体" w:hAnsi="宋体" w:eastAsia="宋体" w:cs="Times New Roman"/>
          <w:color w:val="FF0000"/>
          <w:sz w:val="24"/>
          <w:szCs w:val="20"/>
          <w:lang w:val="zh-CN"/>
        </w:rPr>
        <w:t>采购人、</w:t>
      </w:r>
      <w:r>
        <w:rPr>
          <w:rFonts w:hint="eastAsia" w:ascii="Helvetica" w:hAnsi="Helvetica" w:eastAsia="宋体" w:cs="Helvetica"/>
          <w:color w:val="FF0000"/>
          <w:kern w:val="0"/>
          <w:sz w:val="24"/>
          <w:szCs w:val="24"/>
          <w:lang w:val="zh-CN"/>
        </w:rPr>
        <w:t>代理公司</w:t>
      </w:r>
      <w:r>
        <w:rPr>
          <w:rFonts w:ascii="宋体" w:hAnsi="宋体" w:eastAsia="宋体" w:cs="Times New Roman"/>
          <w:sz w:val="24"/>
          <w:szCs w:val="20"/>
          <w:lang w:val="zh-CN"/>
        </w:rPr>
        <w:t>相关工作人员有需要回避的情形的，应当场提出询问或者回避申请。</w:t>
      </w:r>
      <w:r>
        <w:rPr>
          <w:rFonts w:ascii="宋体" w:hAnsi="宋体" w:eastAsia="宋体" w:cs="Times New Roman"/>
          <w:color w:val="FF0000"/>
          <w:sz w:val="24"/>
          <w:szCs w:val="20"/>
          <w:lang w:val="zh-CN"/>
        </w:rPr>
        <w:t>采购人、</w:t>
      </w:r>
      <w:r>
        <w:rPr>
          <w:rFonts w:hint="eastAsia" w:ascii="Helvetica" w:hAnsi="Helvetica" w:eastAsia="宋体" w:cs="Helvetica"/>
          <w:color w:val="FF0000"/>
          <w:kern w:val="0"/>
          <w:sz w:val="24"/>
          <w:szCs w:val="24"/>
          <w:lang w:val="zh-CN"/>
        </w:rPr>
        <w:t>代理公司</w:t>
      </w:r>
      <w:r>
        <w:rPr>
          <w:rFonts w:hint="eastAsia" w:ascii="宋体" w:hAnsi="宋体" w:eastAsia="宋体" w:cs="Times New Roman"/>
          <w:sz w:val="24"/>
          <w:szCs w:val="20"/>
          <w:lang w:val="zh-CN"/>
        </w:rPr>
        <w:t>将</w:t>
      </w:r>
      <w:r>
        <w:rPr>
          <w:rFonts w:ascii="宋体" w:hAnsi="宋体" w:eastAsia="宋体" w:cs="Times New Roman"/>
          <w:sz w:val="24"/>
          <w:szCs w:val="20"/>
          <w:lang w:val="zh-CN"/>
        </w:rPr>
        <w:t>及时处理投标人代表提出的询问或者回避申请。</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资格审查</w:t>
      </w:r>
    </w:p>
    <w:p>
      <w:pPr>
        <w:numPr>
          <w:ilvl w:val="0"/>
          <w:numId w:val="25"/>
        </w:numPr>
        <w:spacing w:line="360" w:lineRule="auto"/>
        <w:ind w:left="616" w:hanging="616"/>
        <w:rPr>
          <w:rFonts w:ascii="Helvetica" w:hAnsi="Helvetica" w:eastAsia="宋体" w:cs="Helvetica"/>
          <w:kern w:val="0"/>
          <w:sz w:val="24"/>
          <w:szCs w:val="24"/>
          <w:lang w:val="zh-CN"/>
        </w:rPr>
      </w:pPr>
      <w:r>
        <w:rPr>
          <w:rFonts w:hint="eastAsia" w:ascii="宋体" w:hAnsi="宋体" w:eastAsia="宋体" w:cs="Times New Roman"/>
          <w:bCs/>
          <w:sz w:val="24"/>
          <w:szCs w:val="20"/>
          <w:lang w:val="zh-CN"/>
        </w:rPr>
        <w:t>公开招标采购项目开标结束后，</w:t>
      </w:r>
      <w:r>
        <w:rPr>
          <w:rFonts w:hint="eastAsia" w:ascii="宋体" w:hAnsi="宋体" w:eastAsia="宋体" w:cs="Times New Roman"/>
          <w:bCs/>
          <w:color w:val="FF0000"/>
          <w:sz w:val="24"/>
          <w:szCs w:val="20"/>
          <w:lang w:val="zh-CN"/>
        </w:rPr>
        <w:t>采购人和采购代理公司</w:t>
      </w:r>
      <w:r>
        <w:rPr>
          <w:rFonts w:hint="eastAsia" w:ascii="宋体" w:hAnsi="宋体" w:eastAsia="宋体" w:cs="Times New Roman"/>
          <w:bCs/>
          <w:sz w:val="24"/>
          <w:szCs w:val="20"/>
          <w:lang w:val="zh-CN"/>
        </w:rPr>
        <w:t>依据法律、法规及招标文件的规定，对投标人的资格进行审查，以确定投标人资格是否合格。</w:t>
      </w:r>
      <w:r>
        <w:rPr>
          <w:rFonts w:ascii="Helvetica" w:hAnsi="Helvetica" w:eastAsia="宋体" w:cs="Helvetica"/>
          <w:kern w:val="0"/>
          <w:sz w:val="24"/>
          <w:szCs w:val="24"/>
          <w:lang w:val="zh-CN"/>
        </w:rPr>
        <w:t>合格投标人不足</w:t>
      </w:r>
      <w:r>
        <w:rPr>
          <w:rFonts w:ascii="宋体" w:hAnsi="宋体" w:eastAsia="宋体" w:cs="Helvetica"/>
          <w:kern w:val="0"/>
          <w:sz w:val="24"/>
          <w:szCs w:val="24"/>
          <w:lang w:val="zh-CN"/>
        </w:rPr>
        <w:t>3</w:t>
      </w:r>
      <w:r>
        <w:rPr>
          <w:rFonts w:ascii="Helvetica" w:hAnsi="Helvetica" w:eastAsia="宋体" w:cs="Helvetica"/>
          <w:kern w:val="0"/>
          <w:sz w:val="24"/>
          <w:szCs w:val="24"/>
          <w:lang w:val="zh-CN"/>
        </w:rPr>
        <w:t>家的，不</w:t>
      </w:r>
      <w:r>
        <w:rPr>
          <w:rFonts w:hint="eastAsia" w:ascii="Helvetica" w:hAnsi="Helvetica" w:eastAsia="宋体" w:cs="Helvetica"/>
          <w:kern w:val="0"/>
          <w:sz w:val="24"/>
          <w:szCs w:val="24"/>
          <w:lang w:val="zh-CN"/>
        </w:rPr>
        <w:t>进行</w:t>
      </w:r>
      <w:r>
        <w:rPr>
          <w:rFonts w:ascii="Helvetica" w:hAnsi="Helvetica" w:eastAsia="宋体" w:cs="Helvetica"/>
          <w:kern w:val="0"/>
          <w:sz w:val="24"/>
          <w:szCs w:val="24"/>
          <w:lang w:val="zh-CN"/>
        </w:rPr>
        <w:t>评标</w:t>
      </w:r>
      <w:r>
        <w:rPr>
          <w:rFonts w:hint="eastAsia" w:ascii="Helvetica" w:hAnsi="Helvetica" w:eastAsia="宋体" w:cs="Helvetica"/>
          <w:kern w:val="0"/>
          <w:sz w:val="24"/>
          <w:szCs w:val="24"/>
          <w:lang w:val="zh-CN"/>
        </w:rPr>
        <w:t>。</w:t>
      </w:r>
    </w:p>
    <w:p>
      <w:pPr>
        <w:numPr>
          <w:ilvl w:val="0"/>
          <w:numId w:val="25"/>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资格审查详见第四章“资格审查方法及标准”。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最低评标价法。最低评标价法是指投标文件满足招标文件全部实质性要求，且投标报价最低的投标人为中标候选人的评标方法。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宋体" w:hAnsi="宋体" w:eastAsia="宋体" w:cs="Times New Roman"/>
          <w:bCs/>
          <w:sz w:val="24"/>
          <w:szCs w:val="20"/>
          <w:lang w:val="zh-CN"/>
        </w:rPr>
        <w:t>综合评分法。</w:t>
      </w:r>
      <w:r>
        <w:rPr>
          <w:rFonts w:ascii="宋体" w:hAnsi="宋体" w:eastAsia="宋体" w:cs="Times New Roman"/>
          <w:bCs/>
          <w:sz w:val="24"/>
          <w:szCs w:val="20"/>
          <w:lang w:val="zh-CN"/>
        </w:rPr>
        <w:t>综合评分法是指投标文件满足招标文件全部实质性要求，且按照评审因素的量化指标评审得分最高的投标人为中标候选人的评标方法。</w:t>
      </w:r>
    </w:p>
    <w:p>
      <w:pPr>
        <w:numPr>
          <w:ilvl w:val="0"/>
          <w:numId w:val="26"/>
        </w:numPr>
        <w:spacing w:line="360" w:lineRule="auto"/>
        <w:ind w:left="616" w:hanging="616"/>
        <w:rPr>
          <w:rFonts w:ascii="宋体" w:hAnsi="宋体" w:eastAsia="宋体" w:cs="Times New Roman"/>
          <w:bCs/>
          <w:sz w:val="24"/>
          <w:szCs w:val="20"/>
          <w:lang w:val="zh-CN"/>
        </w:rPr>
      </w:pPr>
      <w:r>
        <w:rPr>
          <w:rFonts w:hint="eastAsia" w:ascii="Helvetica" w:hAnsi="Helvetica" w:eastAsia="宋体" w:cs="Helvetica"/>
          <w:kern w:val="0"/>
          <w:sz w:val="24"/>
          <w:szCs w:val="24"/>
          <w:lang w:val="zh-CN"/>
        </w:rPr>
        <w:t>评标方法详见第五章“评标方法、程序及标准”</w:t>
      </w:r>
      <w:r>
        <w:rPr>
          <w:rFonts w:hint="eastAsia" w:ascii="宋体" w:hAnsi="宋体" w:eastAsia="宋体" w:cs="Times New Roman"/>
          <w:bCs/>
          <w:sz w:val="24"/>
          <w:szCs w:val="20"/>
          <w:lang w:val="zh-CN"/>
        </w:rPr>
        <w:t>。</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评标委员会的组成</w:t>
      </w:r>
    </w:p>
    <w:p>
      <w:pPr>
        <w:numPr>
          <w:ilvl w:val="0"/>
          <w:numId w:val="27"/>
        </w:numPr>
        <w:spacing w:line="360" w:lineRule="auto"/>
        <w:ind w:left="616" w:hanging="616"/>
        <w:rPr>
          <w:rFonts w:ascii="宋体" w:hAnsi="宋体" w:eastAsia="宋体" w:cs="Times New Roman"/>
          <w:sz w:val="24"/>
          <w:szCs w:val="20"/>
          <w:lang w:val="zh-CN"/>
        </w:rPr>
      </w:pPr>
      <w:r>
        <w:rPr>
          <w:rFonts w:ascii="宋体" w:hAnsi="宋体" w:eastAsia="宋体" w:cs="Helvetica"/>
          <w:kern w:val="0"/>
          <w:sz w:val="24"/>
          <w:szCs w:val="24"/>
          <w:lang w:val="zh-CN"/>
        </w:rPr>
        <w:t>评标委员会由采购人代表和评审专家组成，成员人数应当为5人</w:t>
      </w:r>
      <w:r>
        <w:rPr>
          <w:rFonts w:hint="eastAsia" w:ascii="宋体" w:hAnsi="宋体" w:eastAsia="宋体" w:cs="Helvetica"/>
          <w:kern w:val="0"/>
          <w:sz w:val="24"/>
          <w:szCs w:val="24"/>
          <w:lang w:val="zh-CN"/>
        </w:rPr>
        <w:t>及</w:t>
      </w:r>
      <w:r>
        <w:rPr>
          <w:rFonts w:ascii="宋体" w:hAnsi="宋体" w:eastAsia="宋体" w:cs="Helvetica"/>
          <w:kern w:val="0"/>
          <w:sz w:val="24"/>
          <w:szCs w:val="24"/>
          <w:lang w:val="zh-CN"/>
        </w:rPr>
        <w:t>以上单数，其中评审专家不得少于成员总数的三分之二</w:t>
      </w:r>
      <w:r>
        <w:rPr>
          <w:rFonts w:hint="eastAsia" w:ascii="宋体" w:hAnsi="宋体" w:eastAsia="宋体" w:cs="Helvetica"/>
          <w:kern w:val="0"/>
          <w:sz w:val="24"/>
          <w:szCs w:val="24"/>
          <w:lang w:val="zh-CN"/>
        </w:rPr>
        <w:t>；</w:t>
      </w:r>
      <w:r>
        <w:rPr>
          <w:rFonts w:ascii="宋体" w:hAnsi="宋体" w:eastAsia="宋体" w:cs="Times New Roman"/>
          <w:sz w:val="24"/>
          <w:szCs w:val="20"/>
          <w:lang w:val="zh-CN"/>
        </w:rPr>
        <w:t>采购预算金额在1000万元</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w:t>
      </w:r>
      <w:r>
        <w:rPr>
          <w:rFonts w:hint="eastAsia" w:ascii="宋体" w:hAnsi="宋体" w:eastAsia="宋体" w:cs="Times New Roman"/>
          <w:sz w:val="24"/>
          <w:szCs w:val="20"/>
          <w:lang w:val="zh-CN"/>
        </w:rPr>
        <w:t>、</w:t>
      </w:r>
      <w:r>
        <w:rPr>
          <w:rFonts w:ascii="宋体" w:hAnsi="宋体" w:eastAsia="宋体" w:cs="Times New Roman"/>
          <w:sz w:val="24"/>
          <w:szCs w:val="20"/>
          <w:lang w:val="zh-CN"/>
        </w:rPr>
        <w:t>技术复杂</w:t>
      </w:r>
      <w:r>
        <w:rPr>
          <w:rFonts w:hint="eastAsia" w:ascii="宋体" w:hAnsi="宋体" w:eastAsia="宋体" w:cs="Times New Roman"/>
          <w:sz w:val="24"/>
          <w:szCs w:val="20"/>
          <w:lang w:val="zh-CN"/>
        </w:rPr>
        <w:t>或</w:t>
      </w:r>
      <w:r>
        <w:rPr>
          <w:rFonts w:ascii="宋体" w:hAnsi="宋体" w:eastAsia="宋体" w:cs="Times New Roman"/>
          <w:sz w:val="24"/>
          <w:szCs w:val="20"/>
          <w:lang w:val="zh-CN"/>
        </w:rPr>
        <w:t>社会影响较大</w:t>
      </w:r>
      <w:r>
        <w:rPr>
          <w:rFonts w:hint="eastAsia" w:ascii="宋体" w:hAnsi="宋体" w:eastAsia="宋体" w:cs="Times New Roman"/>
          <w:sz w:val="24"/>
          <w:szCs w:val="20"/>
          <w:lang w:val="zh-CN"/>
        </w:rPr>
        <w:t>的项目，</w:t>
      </w:r>
      <w:r>
        <w:rPr>
          <w:rFonts w:ascii="宋体" w:hAnsi="宋体" w:eastAsia="宋体" w:cs="Times New Roman"/>
          <w:sz w:val="24"/>
          <w:szCs w:val="20"/>
          <w:lang w:val="zh-CN"/>
        </w:rPr>
        <w:t>评标委员会成员人数应当为7人</w:t>
      </w:r>
      <w:r>
        <w:rPr>
          <w:rFonts w:hint="eastAsia" w:ascii="宋体" w:hAnsi="宋体" w:eastAsia="宋体" w:cs="Times New Roman"/>
          <w:sz w:val="24"/>
          <w:szCs w:val="20"/>
          <w:lang w:val="zh-CN"/>
        </w:rPr>
        <w:t>及</w:t>
      </w:r>
      <w:r>
        <w:rPr>
          <w:rFonts w:ascii="宋体" w:hAnsi="宋体" w:eastAsia="宋体" w:cs="Times New Roman"/>
          <w:sz w:val="24"/>
          <w:szCs w:val="20"/>
          <w:lang w:val="zh-CN"/>
        </w:rPr>
        <w:t>以上单数</w:t>
      </w:r>
      <w:r>
        <w:rPr>
          <w:rFonts w:hint="eastAsia" w:ascii="宋体" w:hAnsi="宋体" w:eastAsia="宋体" w:cs="Times New Roman"/>
          <w:sz w:val="24"/>
          <w:szCs w:val="20"/>
          <w:lang w:val="zh-CN"/>
        </w:rPr>
        <w:t>。</w:t>
      </w:r>
    </w:p>
    <w:p>
      <w:pPr>
        <w:numPr>
          <w:ilvl w:val="0"/>
          <w:numId w:val="27"/>
        </w:numPr>
        <w:spacing w:line="360" w:lineRule="auto"/>
        <w:ind w:left="616" w:hanging="616"/>
        <w:rPr>
          <w:rFonts w:ascii="宋体" w:hAnsi="宋体" w:eastAsia="宋体" w:cs="Times New Roman"/>
          <w:b/>
          <w:sz w:val="24"/>
          <w:szCs w:val="20"/>
          <w:lang w:val="zh-CN"/>
        </w:rPr>
      </w:pPr>
      <w:r>
        <w:rPr>
          <w:rFonts w:hint="eastAsia" w:ascii="宋体" w:hAnsi="宋体" w:eastAsia="宋体" w:cs="Times New Roman"/>
          <w:b/>
          <w:sz w:val="24"/>
          <w:szCs w:val="20"/>
          <w:lang w:val="zh-CN"/>
        </w:rPr>
        <w:t>评标委员会成员依法从政府采购专家库中随机抽取。</w:t>
      </w:r>
      <w:r>
        <w:rPr>
          <w:rFonts w:ascii="宋体" w:hAnsi="宋体" w:eastAsia="宋体" w:cs="Times New Roman"/>
          <w:b/>
          <w:sz w:val="24"/>
          <w:szCs w:val="20"/>
          <w:lang w:val="zh-CN"/>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评标程序</w:t>
      </w:r>
    </w:p>
    <w:p>
      <w:pPr>
        <w:numPr>
          <w:ilvl w:val="0"/>
          <w:numId w:val="28"/>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评标委员会负责具体评标事务，并独立履行下列职责：</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审查、评价投标文件是否符合招标文件的商务、技术等实质性要求；</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要求投标人对投标文件有关事项作出澄清或者说明；</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对投标文件进行</w:t>
      </w:r>
      <w:r>
        <w:rPr>
          <w:rFonts w:hint="eastAsia" w:ascii="宋体" w:hAnsi="宋体" w:eastAsia="宋体" w:cs="Times New Roman"/>
          <w:sz w:val="24"/>
          <w:szCs w:val="20"/>
          <w:lang w:val="zh-CN"/>
        </w:rPr>
        <w:t>综合</w:t>
      </w:r>
      <w:r>
        <w:rPr>
          <w:rFonts w:ascii="宋体" w:hAnsi="宋体" w:eastAsia="宋体" w:cs="Times New Roman"/>
          <w:sz w:val="24"/>
          <w:szCs w:val="20"/>
          <w:lang w:val="zh-CN"/>
        </w:rPr>
        <w:t>比较和评价；</w:t>
      </w:r>
    </w:p>
    <w:p>
      <w:pPr>
        <w:numPr>
          <w:ilvl w:val="0"/>
          <w:numId w:val="29"/>
        </w:numPr>
        <w:spacing w:line="360" w:lineRule="auto"/>
        <w:ind w:left="980" w:hanging="854"/>
        <w:rPr>
          <w:rFonts w:ascii="宋体" w:hAnsi="宋体" w:eastAsia="宋体" w:cs="Times New Roman"/>
          <w:sz w:val="24"/>
          <w:szCs w:val="20"/>
          <w:lang w:val="zh-CN"/>
        </w:rPr>
      </w:pPr>
      <w:r>
        <w:rPr>
          <w:rFonts w:hint="eastAsia" w:ascii="宋体" w:hAnsi="宋体" w:eastAsia="宋体" w:cs="Times New Roman"/>
          <w:sz w:val="24"/>
          <w:szCs w:val="20"/>
          <w:lang w:val="zh-CN"/>
        </w:rPr>
        <w:t>确定中标候选人名单或中标人；</w:t>
      </w:r>
    </w:p>
    <w:p>
      <w:pPr>
        <w:numPr>
          <w:ilvl w:val="0"/>
          <w:numId w:val="29"/>
        </w:numPr>
        <w:spacing w:line="360" w:lineRule="auto"/>
        <w:ind w:left="980" w:hanging="854"/>
        <w:rPr>
          <w:rFonts w:ascii="宋体" w:hAnsi="宋体" w:eastAsia="宋体" w:cs="Times New Roman"/>
          <w:sz w:val="24"/>
          <w:szCs w:val="20"/>
          <w:lang w:val="zh-CN"/>
        </w:rPr>
      </w:pPr>
      <w:r>
        <w:rPr>
          <w:rFonts w:ascii="宋体" w:hAnsi="宋体" w:eastAsia="宋体" w:cs="Times New Roman"/>
          <w:sz w:val="24"/>
          <w:szCs w:val="20"/>
          <w:lang w:val="zh-CN"/>
        </w:rPr>
        <w:t>向采购人、</w:t>
      </w:r>
      <w:r>
        <w:rPr>
          <w:rFonts w:hint="eastAsia" w:ascii="宋体" w:hAnsi="宋体" w:eastAsia="宋体" w:cs="Times New Roman"/>
          <w:sz w:val="24"/>
          <w:szCs w:val="20"/>
          <w:lang w:val="zh-CN"/>
        </w:rPr>
        <w:t>采购代理</w:t>
      </w:r>
      <w:r>
        <w:rPr>
          <w:rFonts w:ascii="宋体" w:hAnsi="宋体" w:eastAsia="宋体" w:cs="Times New Roman"/>
          <w:sz w:val="24"/>
          <w:szCs w:val="20"/>
          <w:lang w:val="zh-CN"/>
        </w:rPr>
        <w:t>机构或者有关部门报告评标中发现的违法行为。</w:t>
      </w:r>
    </w:p>
    <w:p>
      <w:pPr>
        <w:numPr>
          <w:ilvl w:val="0"/>
          <w:numId w:val="28"/>
        </w:numPr>
        <w:spacing w:line="360" w:lineRule="auto"/>
        <w:ind w:left="616" w:hanging="616"/>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评标程序详见第五章“评标方法、程序及标准”。</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18" w:name="_Toc48230888"/>
      <w:bookmarkStart w:id="19" w:name="_Toc494561943"/>
      <w:r>
        <w:rPr>
          <w:rFonts w:hint="eastAsia" w:cs="Times New Roman" w:asciiTheme="majorEastAsia" w:hAnsiTheme="majorEastAsia"/>
          <w:bCs w:val="0"/>
          <w:lang w:val="zh-CN"/>
        </w:rPr>
        <w:t>投标人信用信息及查询</w:t>
      </w:r>
      <w:bookmarkEnd w:id="18"/>
      <w:bookmarkEnd w:id="19"/>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信用信息查询渠道及使用规则</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fldChar w:fldCharType="begin"/>
      </w:r>
      <w:r>
        <w:instrText xml:space="preserve"> HYPERLINK "http://www.ccgp.gov.cn" </w:instrText>
      </w:r>
      <w:r>
        <w:fldChar w:fldCharType="separate"/>
      </w:r>
      <w:r>
        <w:rPr>
          <w:rFonts w:hint="eastAsia" w:cs="Helvetica" w:asciiTheme="minorEastAsia" w:hAnsiTheme="minorEastAsia"/>
          <w:kern w:val="0"/>
          <w:sz w:val="24"/>
          <w:szCs w:val="24"/>
          <w:lang w:val="zh-CN"/>
        </w:rPr>
        <w:t>www.ccgp.gov.cn</w:t>
      </w:r>
      <w:r>
        <w:rPr>
          <w:rFonts w:hint="eastAsia" w:cs="Helvetica" w:asciiTheme="minorEastAsia" w:hAnsiTheme="minorEastAsia"/>
          <w:kern w:val="0"/>
          <w:sz w:val="24"/>
          <w:szCs w:val="24"/>
          <w:lang w:val="zh-CN"/>
        </w:rPr>
        <w:fldChar w:fldCharType="end"/>
      </w:r>
      <w:r>
        <w:rPr>
          <w:rFonts w:hint="eastAsia" w:cs="Helvetica" w:asciiTheme="minorEastAsia" w:hAnsiTheme="minorEastAsia"/>
          <w:kern w:val="0"/>
          <w:sz w:val="24"/>
          <w:szCs w:val="24"/>
          <w:lang w:val="zh-CN"/>
        </w:rPr>
        <w:t>)。</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列入失信被执行人、重大税收违法案件当事人名单、政府采购严重违法失信行为记录名单的</w:t>
      </w:r>
      <w:r>
        <w:rPr>
          <w:rFonts w:hint="eastAsia" w:cs="Helvetica" w:asciiTheme="minorEastAsia" w:hAnsiTheme="minorEastAsia"/>
          <w:kern w:val="0"/>
          <w:sz w:val="24"/>
          <w:szCs w:val="24"/>
        </w:rPr>
        <w:t>投标人</w:t>
      </w:r>
      <w:r>
        <w:rPr>
          <w:rFonts w:hint="eastAsia" w:cs="Helvetica" w:asciiTheme="minorEastAsia" w:hAnsiTheme="minorEastAsia"/>
          <w:kern w:val="0"/>
          <w:sz w:val="24"/>
          <w:szCs w:val="24"/>
          <w:lang w:val="zh-CN"/>
        </w:rPr>
        <w:t>，采购人、采购代理机构</w:t>
      </w:r>
      <w:r>
        <w:rPr>
          <w:rFonts w:hint="eastAsia" w:cs="Helvetica" w:asciiTheme="minorEastAsia" w:hAnsiTheme="minorEastAsia"/>
          <w:b/>
          <w:bCs/>
          <w:kern w:val="0"/>
          <w:sz w:val="24"/>
          <w:szCs w:val="24"/>
          <w:lang w:val="zh-CN"/>
        </w:rPr>
        <w:t>拒绝</w:t>
      </w:r>
      <w:r>
        <w:rPr>
          <w:rFonts w:hint="eastAsia" w:cs="Helvetica" w:asciiTheme="minorEastAsia" w:hAnsiTheme="minorEastAsia"/>
          <w:kern w:val="0"/>
          <w:sz w:val="24"/>
          <w:szCs w:val="24"/>
          <w:lang w:val="zh-CN"/>
        </w:rPr>
        <w:t>其参与政府采购活动。</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两个及以上自然人、法人或者其他组织组成联合体，以一个</w:t>
      </w:r>
      <w:r>
        <w:rPr>
          <w:rFonts w:hint="eastAsia" w:cs="Helvetica" w:asciiTheme="minorEastAsia" w:hAnsiTheme="minorEastAsia"/>
          <w:kern w:val="0"/>
          <w:sz w:val="24"/>
          <w:szCs w:val="24"/>
        </w:rPr>
        <w:t>投标人</w:t>
      </w:r>
      <w:r>
        <w:rPr>
          <w:rFonts w:hint="eastAsia" w:cs="Helvetica" w:asciiTheme="minorEastAsia" w:hAnsiTheme="minorEastAsia"/>
          <w:kern w:val="0"/>
          <w:sz w:val="24"/>
          <w:szCs w:val="24"/>
          <w:lang w:val="zh-CN"/>
        </w:rPr>
        <w:t>的身份共同参加政府采购活动的，应当对所有联合体成员进行信用记录查询，联合体成员存在不良信用记录的，视同联合体存在不良信用信息。</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投标人的信用记录，最终以评标时的“信用中国”网站</w:t>
      </w:r>
      <w:r>
        <w:rPr>
          <w:rFonts w:hint="eastAsia" w:ascii="宋体" w:hAnsi="宋体" w:cs="Helvetica"/>
          <w:kern w:val="0"/>
          <w:sz w:val="24"/>
          <w:szCs w:val="24"/>
        </w:rPr>
        <w:t>和“中国政府采购网”</w:t>
      </w:r>
      <w:r>
        <w:rPr>
          <w:rFonts w:hint="eastAsia" w:cs="Helvetica" w:asciiTheme="minorEastAsia" w:hAnsiTheme="minorEastAsia"/>
          <w:kern w:val="0"/>
          <w:sz w:val="24"/>
          <w:szCs w:val="24"/>
          <w:lang w:val="zh-CN"/>
        </w:rPr>
        <w:t>发布的信息为准。</w:t>
      </w:r>
    </w:p>
    <w:p>
      <w:pPr>
        <w:numPr>
          <w:ilvl w:val="0"/>
          <w:numId w:val="30"/>
        </w:numPr>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在资格审查与评标工作未同日进行的特殊情形下，</w:t>
      </w:r>
      <w:r>
        <w:rPr>
          <w:rFonts w:hint="eastAsia" w:ascii="Helvetica" w:hAnsi="Helvetica" w:eastAsia="宋体" w:cs="Helvetica"/>
          <w:color w:val="FF0000"/>
          <w:kern w:val="0"/>
          <w:sz w:val="24"/>
          <w:szCs w:val="24"/>
          <w:lang w:val="zh-CN"/>
        </w:rPr>
        <w:t>采购人（或代理公司）</w:t>
      </w:r>
      <w:r>
        <w:rPr>
          <w:rFonts w:hint="eastAsia" w:cs="Helvetica" w:asciiTheme="minorEastAsia" w:hAnsiTheme="minorEastAsia"/>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kern w:val="0"/>
          <w:sz w:val="24"/>
          <w:szCs w:val="24"/>
          <w:lang w:val="zh-CN"/>
        </w:rPr>
        <w:t>无效投标处理。</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0" w:name="_Toc494561944"/>
      <w:bookmarkStart w:id="21" w:name="_Toc48230889"/>
      <w:r>
        <w:rPr>
          <w:rFonts w:cs="Times New Roman" w:asciiTheme="majorEastAsia" w:hAnsiTheme="majorEastAsia"/>
          <w:bCs w:val="0"/>
          <w:lang w:val="zh-CN"/>
        </w:rPr>
        <w:t>中标</w:t>
      </w:r>
      <w:r>
        <w:rPr>
          <w:rFonts w:hint="eastAsia" w:cs="Times New Roman" w:asciiTheme="majorEastAsia" w:hAnsiTheme="majorEastAsia"/>
          <w:bCs w:val="0"/>
          <w:lang w:val="zh-CN"/>
        </w:rPr>
        <w:t>与</w:t>
      </w:r>
      <w:r>
        <w:rPr>
          <w:rFonts w:cs="Times New Roman" w:asciiTheme="majorEastAsia" w:hAnsiTheme="majorEastAsia"/>
          <w:bCs w:val="0"/>
          <w:lang w:val="zh-CN"/>
        </w:rPr>
        <w:t>合同</w:t>
      </w:r>
      <w:bookmarkEnd w:id="20"/>
      <w:bookmarkEnd w:id="21"/>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采购人收到评标报告</w:t>
      </w:r>
      <w:r>
        <w:rPr>
          <w:rFonts w:ascii="宋体" w:hAnsi="宋体" w:eastAsia="宋体" w:cs="Helvetica"/>
          <w:kern w:val="0"/>
          <w:sz w:val="24"/>
          <w:szCs w:val="24"/>
          <w:lang w:val="zh-CN"/>
        </w:rPr>
        <w:t>5个工作日内，</w:t>
      </w:r>
      <w:r>
        <w:rPr>
          <w:rFonts w:hint="eastAsia" w:ascii="宋体" w:hAnsi="宋体" w:eastAsia="宋体" w:cs="Helvetica"/>
          <w:kern w:val="0"/>
          <w:sz w:val="24"/>
          <w:szCs w:val="24"/>
          <w:lang w:val="zh-CN"/>
        </w:rPr>
        <w:t>按</w:t>
      </w:r>
      <w:r>
        <w:rPr>
          <w:rFonts w:ascii="宋体" w:hAnsi="宋体" w:eastAsia="宋体" w:cs="Helvetica"/>
          <w:kern w:val="0"/>
          <w:sz w:val="24"/>
          <w:szCs w:val="24"/>
          <w:lang w:val="zh-CN"/>
        </w:rPr>
        <w:t>评标报告推荐的中标候选人顺序确定中标人。</w:t>
      </w:r>
    </w:p>
    <w:p>
      <w:pPr>
        <w:numPr>
          <w:ilvl w:val="0"/>
          <w:numId w:val="31"/>
        </w:numPr>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中标候选人并列的</w:t>
      </w:r>
      <w:r>
        <w:rPr>
          <w:rFonts w:hint="eastAsia" w:ascii="Helvetica" w:hAnsi="Helvetica" w:eastAsia="宋体" w:cs="Helvetica"/>
          <w:kern w:val="0"/>
          <w:sz w:val="24"/>
          <w:szCs w:val="24"/>
          <w:lang w:val="zh-CN"/>
        </w:rPr>
        <w:t>：</w:t>
      </w:r>
    </w:p>
    <w:p>
      <w:pPr>
        <w:numPr>
          <w:ilvl w:val="0"/>
          <w:numId w:val="32"/>
        </w:numPr>
        <w:spacing w:line="360" w:lineRule="auto"/>
        <w:ind w:left="1060" w:leftChars="0" w:hanging="1060" w:firstLineChars="0"/>
        <w:rPr>
          <w:rFonts w:ascii="宋体" w:hAnsi="宋体" w:eastAsia="宋体" w:cs="Times New Roman"/>
          <w:sz w:val="24"/>
          <w:szCs w:val="20"/>
          <w:lang w:val="zh-CN"/>
        </w:rPr>
      </w:pPr>
      <w:r>
        <w:rPr>
          <w:rFonts w:hint="eastAsia" w:ascii="宋体" w:hAnsi="宋体" w:eastAsia="宋体" w:cs="Times New Roman"/>
          <w:sz w:val="24"/>
          <w:szCs w:val="20"/>
          <w:lang w:val="zh-CN"/>
        </w:rPr>
        <w:t>采用最低评标价法的，评标结果按投标报价由低到高顺序排列。投标报价相同的，按技术部分由高到低顺序排列。</w:t>
      </w:r>
    </w:p>
    <w:p>
      <w:pPr>
        <w:numPr>
          <w:ilvl w:val="0"/>
          <w:numId w:val="32"/>
        </w:numPr>
        <w:spacing w:line="360" w:lineRule="auto"/>
        <w:ind w:left="980" w:leftChars="0" w:hanging="980" w:firstLineChars="0"/>
        <w:rPr>
          <w:rFonts w:ascii="宋体" w:hAnsi="宋体" w:eastAsia="宋体" w:cs="Times New Roman"/>
          <w:sz w:val="24"/>
          <w:szCs w:val="20"/>
          <w:lang w:val="zh-CN"/>
        </w:rPr>
      </w:pPr>
      <w:r>
        <w:rPr>
          <w:rFonts w:hint="eastAsia" w:ascii="宋体" w:hAnsi="宋体" w:eastAsia="宋体" w:cs="Times New Roman"/>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中标人的数量有其他规定的，按招标文件相关规定执行。</w:t>
      </w:r>
    </w:p>
    <w:p>
      <w:pPr>
        <w:numPr>
          <w:ilvl w:val="0"/>
          <w:numId w:val="31"/>
        </w:numPr>
        <w:spacing w:line="360" w:lineRule="auto"/>
        <w:ind w:left="616" w:hanging="616"/>
        <w:rPr>
          <w:rFonts w:ascii="宋体" w:hAnsi="宋体" w:eastAsia="宋体" w:cs="Times New Roman"/>
          <w:strike/>
          <w:sz w:val="24"/>
          <w:szCs w:val="20"/>
          <w:lang w:val="zh-CN"/>
        </w:rPr>
      </w:pPr>
      <w:r>
        <w:rPr>
          <w:rFonts w:hint="eastAsia" w:ascii="宋体" w:hAnsi="宋体" w:eastAsia="宋体" w:cs="Times New Roman"/>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31"/>
        </w:numPr>
        <w:spacing w:line="360" w:lineRule="auto"/>
        <w:ind w:left="616" w:hanging="616"/>
        <w:rPr>
          <w:rFonts w:ascii="宋体" w:hAnsi="宋体" w:eastAsia="宋体" w:cs="Times New Roman"/>
          <w:strike/>
          <w:sz w:val="24"/>
          <w:szCs w:val="20"/>
          <w:lang w:val="zh-CN"/>
        </w:rPr>
      </w:pPr>
      <w:r>
        <w:rPr>
          <w:rFonts w:ascii="Helvetica" w:hAnsi="Helvetica" w:eastAsia="宋体" w:cs="Helvetica"/>
          <w:kern w:val="0"/>
          <w:sz w:val="24"/>
          <w:szCs w:val="24"/>
          <w:lang w:val="zh-CN"/>
        </w:rPr>
        <w:t>中标通知书发出后，采购人不得违法改变中标结果，中标人无正当理由不得放弃中标。</w:t>
      </w:r>
    </w:p>
    <w:p>
      <w:pPr>
        <w:numPr>
          <w:ilvl w:val="0"/>
          <w:numId w:val="31"/>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合同授予</w:t>
      </w:r>
    </w:p>
    <w:p>
      <w:pPr>
        <w:spacing w:line="360" w:lineRule="auto"/>
        <w:ind w:firstLine="480" w:firstLineChars="200"/>
        <w:rPr>
          <w:rFonts w:ascii="宋体" w:hAnsi="宋体" w:eastAsia="宋体" w:cs="Times New Roman"/>
          <w:sz w:val="24"/>
          <w:szCs w:val="20"/>
          <w:lang w:val="zh-CN"/>
        </w:rPr>
      </w:pPr>
      <w:r>
        <w:rPr>
          <w:rFonts w:hint="eastAsia" w:ascii="宋体" w:hAnsi="宋体" w:eastAsia="宋体" w:cs="Times New Roman"/>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合同签订</w:t>
      </w:r>
    </w:p>
    <w:p>
      <w:pPr>
        <w:numPr>
          <w:ilvl w:val="0"/>
          <w:numId w:val="33"/>
        </w:numPr>
        <w:spacing w:line="360" w:lineRule="auto"/>
        <w:ind w:left="616" w:hanging="616"/>
        <w:rPr>
          <w:rFonts w:ascii="宋体" w:hAnsi="宋体" w:eastAsia="宋体" w:cs="Times New Roman"/>
          <w:sz w:val="24"/>
          <w:szCs w:val="20"/>
          <w:lang w:val="zh-CN"/>
        </w:rPr>
      </w:pPr>
      <w:bookmarkStart w:id="22" w:name="_Toc278891597"/>
      <w:bookmarkStart w:id="23" w:name="_Toc272247700"/>
      <w:r>
        <w:rPr>
          <w:rFonts w:ascii="宋体" w:hAnsi="宋体" w:eastAsia="宋体" w:cs="Times New Roman"/>
          <w:sz w:val="24"/>
          <w:szCs w:val="20"/>
          <w:lang w:val="zh-CN"/>
        </w:rPr>
        <w:t>采购人应当自中标通知书发出之日起30日内，按照招标文件</w:t>
      </w:r>
      <w:r>
        <w:rPr>
          <w:rFonts w:hint="eastAsia" w:ascii="宋体" w:hAnsi="宋体" w:eastAsia="宋体" w:cs="Times New Roman"/>
          <w:sz w:val="24"/>
          <w:szCs w:val="20"/>
          <w:lang w:val="zh-CN"/>
        </w:rPr>
        <w:t>规定</w:t>
      </w:r>
      <w:r>
        <w:rPr>
          <w:rFonts w:ascii="宋体" w:hAnsi="宋体" w:eastAsia="宋体" w:cs="Times New Roman"/>
          <w:sz w:val="24"/>
          <w:szCs w:val="20"/>
          <w:lang w:val="zh-CN"/>
        </w:rPr>
        <w:t>和中标人投标文件的</w:t>
      </w:r>
      <w:r>
        <w:rPr>
          <w:rFonts w:hint="eastAsia" w:ascii="宋体" w:hAnsi="宋体" w:eastAsia="宋体" w:cs="Times New Roman"/>
          <w:sz w:val="24"/>
          <w:szCs w:val="20"/>
          <w:lang w:val="zh-CN"/>
        </w:rPr>
        <w:t>承诺</w:t>
      </w:r>
      <w:r>
        <w:rPr>
          <w:rFonts w:ascii="宋体" w:hAnsi="宋体" w:eastAsia="宋体" w:cs="Times New Roman"/>
          <w:sz w:val="24"/>
          <w:szCs w:val="20"/>
          <w:lang w:val="zh-CN"/>
        </w:rPr>
        <w:t>，与中标人签订书面合同。所签订的合同不得对招标文件确定的事项和中标人投标文件作实质性修改。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采购人不得向中标人提出任何不合理的要求作为签订合同的条件。</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3"/>
        </w:numPr>
        <w:tabs>
          <w:tab w:val="left" w:pos="616"/>
        </w:tabs>
        <w:spacing w:line="360" w:lineRule="auto"/>
        <w:ind w:left="616" w:hanging="616"/>
        <w:rPr>
          <w:rFonts w:ascii="宋体" w:hAnsi="宋体" w:eastAsia="宋体" w:cs="Times New Roman"/>
          <w:sz w:val="24"/>
          <w:szCs w:val="20"/>
          <w:lang w:val="zh-CN"/>
        </w:rPr>
      </w:pPr>
      <w:r>
        <w:rPr>
          <w:rFonts w:ascii="Helvetica" w:hAnsi="Helvetica" w:eastAsia="宋体" w:cs="Helvetica"/>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4" w:name="_Toc494561945"/>
      <w:bookmarkStart w:id="25" w:name="_Toc48230890"/>
      <w:r>
        <w:rPr>
          <w:rFonts w:hint="eastAsia" w:cs="Times New Roman" w:asciiTheme="majorEastAsia" w:hAnsiTheme="majorEastAsia"/>
          <w:bCs w:val="0"/>
          <w:lang w:val="zh-CN"/>
        </w:rPr>
        <w:t>采购信息公告</w:t>
      </w:r>
      <w:bookmarkEnd w:id="24"/>
      <w:bookmarkEnd w:id="25"/>
    </w:p>
    <w:p>
      <w:pPr>
        <w:numPr>
          <w:ilvl w:val="0"/>
          <w:numId w:val="5"/>
        </w:numPr>
        <w:spacing w:line="360" w:lineRule="auto"/>
        <w:ind w:left="560" w:hanging="560"/>
        <w:rPr>
          <w:rFonts w:ascii="宋体" w:hAnsi="宋体" w:eastAsia="宋体" w:cs="Helvetica"/>
          <w:b/>
          <w:color w:val="0D0D0D"/>
          <w:kern w:val="0"/>
          <w:sz w:val="24"/>
          <w:szCs w:val="24"/>
          <w:lang w:val="zh-CN"/>
        </w:rPr>
      </w:pPr>
      <w:r>
        <w:rPr>
          <w:rFonts w:hint="eastAsia" w:ascii="宋体" w:hAnsi="宋体" w:eastAsia="宋体" w:cs="Helvetica"/>
          <w:b/>
          <w:color w:val="0D0D0D"/>
          <w:kern w:val="0"/>
          <w:sz w:val="24"/>
          <w:szCs w:val="24"/>
          <w:lang w:val="zh-CN"/>
        </w:rPr>
        <w:t>公告的媒体及规定</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在招标活动中的公告、补充、更正、结果等采购信息均依法在政府采购监管部门指定媒体上（中国湖北政府采购网http://www.ccgp-hubei.gov.cn/）发布。</w:t>
      </w:r>
    </w:p>
    <w:p>
      <w:pPr>
        <w:numPr>
          <w:ilvl w:val="0"/>
          <w:numId w:val="34"/>
        </w:numPr>
        <w:tabs>
          <w:tab w:val="left" w:pos="616"/>
        </w:tabs>
        <w:spacing w:line="360" w:lineRule="auto"/>
        <w:ind w:left="616" w:hanging="616"/>
        <w:rPr>
          <w:rFonts w:cs="Helvetica" w:asciiTheme="minorEastAsia" w:hAnsiTheme="minorEastAsia"/>
          <w:bCs/>
          <w:kern w:val="0"/>
          <w:sz w:val="24"/>
          <w:szCs w:val="24"/>
          <w:lang w:val="zh-CN"/>
        </w:rPr>
      </w:pPr>
      <w:r>
        <w:rPr>
          <w:rFonts w:hint="eastAsia" w:ascii="宋体" w:hAnsi="宋体" w:eastAsia="宋体" w:cs="Times New Roman"/>
          <w:sz w:val="24"/>
          <w:szCs w:val="20"/>
          <w:lang w:val="zh-CN"/>
        </w:rPr>
        <w:t>采购代理机构</w:t>
      </w:r>
      <w:r>
        <w:rPr>
          <w:rFonts w:hint="eastAsia" w:cs="Helvetica" w:asciiTheme="minorEastAsia" w:hAnsiTheme="minorEastAsia"/>
          <w:kern w:val="0"/>
          <w:sz w:val="24"/>
          <w:szCs w:val="24"/>
          <w:lang w:val="zh-CN"/>
        </w:rPr>
        <w:t>在自</w:t>
      </w:r>
      <w:r>
        <w:rPr>
          <w:rFonts w:cs="Helvetica" w:asciiTheme="minorEastAsia" w:hAnsiTheme="minorEastAsia"/>
          <w:kern w:val="0"/>
          <w:sz w:val="24"/>
          <w:szCs w:val="24"/>
          <w:lang w:val="zh-CN"/>
        </w:rPr>
        <w:t>中标人确定之日起2个工作日内，</w:t>
      </w:r>
      <w:r>
        <w:rPr>
          <w:rFonts w:hint="eastAsia" w:cs="Helvetica" w:asciiTheme="minorEastAsia" w:hAnsiTheme="minorEastAsia"/>
          <w:kern w:val="0"/>
          <w:sz w:val="24"/>
          <w:szCs w:val="24"/>
          <w:lang w:val="zh-CN"/>
        </w:rPr>
        <w:t>在政府采购监管部门指定媒体上</w:t>
      </w:r>
      <w:r>
        <w:rPr>
          <w:rFonts w:cs="Helvetica" w:asciiTheme="minorEastAsia" w:hAnsiTheme="minorEastAsia"/>
          <w:kern w:val="0"/>
          <w:sz w:val="24"/>
          <w:szCs w:val="24"/>
          <w:lang w:val="zh-CN"/>
        </w:rPr>
        <w:t>公告中标结果</w:t>
      </w:r>
      <w:r>
        <w:rPr>
          <w:rFonts w:hint="eastAsia" w:cs="Helvetica" w:asciiTheme="minorEastAsia" w:hAnsiTheme="minorEastAsia"/>
          <w:kern w:val="0"/>
          <w:sz w:val="24"/>
          <w:szCs w:val="24"/>
          <w:lang w:val="zh-CN"/>
        </w:rPr>
        <w:t>，</w:t>
      </w:r>
      <w:r>
        <w:rPr>
          <w:rFonts w:hint="eastAsia" w:cs="Helvetica" w:asciiTheme="minorEastAsia" w:hAnsiTheme="minorEastAsia"/>
          <w:b/>
          <w:kern w:val="0"/>
          <w:sz w:val="24"/>
          <w:szCs w:val="24"/>
          <w:lang w:val="zh-CN"/>
        </w:rPr>
        <w:t>中标公告的公示期为1个工作日。</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hint="eastAsia" w:cs="Helvetica" w:asciiTheme="minorEastAsia" w:hAnsiTheme="minorEastAsia"/>
          <w:kern w:val="0"/>
          <w:sz w:val="24"/>
          <w:szCs w:val="24"/>
          <w:lang w:val="zh-CN"/>
        </w:rPr>
        <w:t>资格审查未通过的投标人可在结果公告质疑有效期内按公告中的联系方式获知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w:t>
      </w:r>
      <w:r>
        <w:rPr>
          <w:rFonts w:hint="eastAsia" w:cs="Helvetica" w:asciiTheme="minorEastAsia" w:hAnsiTheme="minorEastAsia"/>
          <w:kern w:val="0"/>
          <w:sz w:val="24"/>
          <w:szCs w:val="24"/>
          <w:lang w:val="zh-CN"/>
        </w:rPr>
        <w:t>资格审查情况</w:t>
      </w:r>
      <w:r>
        <w:rPr>
          <w:rFonts w:cs="Helvetica" w:asciiTheme="minorEastAsia" w:hAnsiTheme="minorEastAsia"/>
          <w:kern w:val="0"/>
          <w:sz w:val="24"/>
          <w:szCs w:val="24"/>
          <w:lang w:val="zh-CN"/>
        </w:rPr>
        <w:t>。</w:t>
      </w:r>
    </w:p>
    <w:p>
      <w:pPr>
        <w:numPr>
          <w:ilvl w:val="0"/>
          <w:numId w:val="34"/>
        </w:numPr>
        <w:tabs>
          <w:tab w:val="left" w:pos="616"/>
        </w:tabs>
        <w:spacing w:line="360" w:lineRule="auto"/>
        <w:ind w:left="616" w:hanging="616"/>
        <w:rPr>
          <w:rFonts w:cs="Helvetica" w:asciiTheme="minorEastAsia" w:hAnsiTheme="minorEastAsia"/>
          <w:kern w:val="0"/>
          <w:sz w:val="24"/>
          <w:szCs w:val="24"/>
          <w:lang w:val="zh-CN"/>
        </w:rPr>
      </w:pPr>
      <w:r>
        <w:rPr>
          <w:rFonts w:cs="Helvetica" w:asciiTheme="minorEastAsia" w:hAnsiTheme="minorEastAsia"/>
          <w:kern w:val="0"/>
          <w:sz w:val="24"/>
          <w:szCs w:val="24"/>
          <w:lang w:val="zh-CN"/>
        </w:rPr>
        <w:t>采用综合评分法评审的</w:t>
      </w:r>
      <w:r>
        <w:rPr>
          <w:rFonts w:hint="eastAsia" w:cs="Helvetica" w:asciiTheme="minorEastAsia" w:hAnsiTheme="minorEastAsia"/>
          <w:kern w:val="0"/>
          <w:sz w:val="24"/>
          <w:szCs w:val="24"/>
          <w:lang w:val="zh-CN"/>
        </w:rPr>
        <w:t>项目</w:t>
      </w:r>
      <w:r>
        <w:rPr>
          <w:rFonts w:cs="Helvetica" w:asciiTheme="minorEastAsia" w:hAnsiTheme="minorEastAsia"/>
          <w:kern w:val="0"/>
          <w:sz w:val="24"/>
          <w:szCs w:val="24"/>
          <w:lang w:val="zh-CN"/>
        </w:rPr>
        <w:t>，</w:t>
      </w:r>
      <w:r>
        <w:rPr>
          <w:rFonts w:hint="eastAsia" w:cs="Helvetica" w:asciiTheme="minorEastAsia" w:hAnsiTheme="minorEastAsia"/>
          <w:kern w:val="0"/>
          <w:sz w:val="24"/>
          <w:szCs w:val="24"/>
          <w:lang w:val="zh-CN"/>
        </w:rPr>
        <w:t>未中标人可在结果公告质疑有效期内按公告中的联系方式获知</w:t>
      </w:r>
      <w:r>
        <w:rPr>
          <w:rFonts w:cs="Helvetica" w:asciiTheme="minorEastAsia" w:hAnsiTheme="minorEastAsia"/>
          <w:kern w:val="0"/>
          <w:sz w:val="24"/>
          <w:szCs w:val="24"/>
          <w:lang w:val="zh-CN"/>
        </w:rPr>
        <w:t>本</w:t>
      </w:r>
      <w:r>
        <w:rPr>
          <w:rFonts w:hint="eastAsia" w:cs="Helvetica" w:asciiTheme="minorEastAsia" w:hAnsiTheme="minorEastAsia"/>
          <w:kern w:val="0"/>
          <w:sz w:val="24"/>
          <w:szCs w:val="24"/>
          <w:lang w:val="zh-CN"/>
        </w:rPr>
        <w:t>单位</w:t>
      </w:r>
      <w:r>
        <w:rPr>
          <w:rFonts w:cs="Helvetica" w:asciiTheme="minorEastAsia" w:hAnsiTheme="minorEastAsia"/>
          <w:kern w:val="0"/>
          <w:sz w:val="24"/>
          <w:szCs w:val="24"/>
          <w:lang w:val="zh-CN"/>
        </w:rPr>
        <w:t>的评审得分与排序。</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6" w:name="_Toc48230891"/>
      <w:bookmarkStart w:id="27" w:name="_Toc494561946"/>
      <w:r>
        <w:rPr>
          <w:rFonts w:hint="eastAsia" w:cs="Times New Roman" w:asciiTheme="majorEastAsia" w:hAnsiTheme="majorEastAsia"/>
          <w:bCs w:val="0"/>
          <w:lang w:val="zh-CN"/>
        </w:rPr>
        <w:t>质疑</w:t>
      </w:r>
      <w:bookmarkEnd w:id="22"/>
      <w:bookmarkEnd w:id="23"/>
      <w:r>
        <w:rPr>
          <w:rFonts w:hint="eastAsia" w:cs="Times New Roman" w:asciiTheme="majorEastAsia" w:hAnsiTheme="majorEastAsia"/>
          <w:bCs w:val="0"/>
          <w:lang w:val="zh-CN"/>
        </w:rPr>
        <w:t>及提交</w:t>
      </w:r>
      <w:bookmarkEnd w:id="26"/>
      <w:bookmarkEnd w:id="27"/>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sz w:val="24"/>
          <w:szCs w:val="20"/>
          <w:lang w:val="zh-CN"/>
        </w:rPr>
      </w:pPr>
      <w:r>
        <w:rPr>
          <w:rFonts w:hint="eastAsia" w:ascii="宋体" w:hAnsi="宋体" w:eastAsia="宋体" w:cs="Times New Roman"/>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sz w:val="24"/>
          <w:szCs w:val="20"/>
          <w:lang w:val="zh-CN"/>
        </w:rPr>
        <w:t>向</w:t>
      </w:r>
      <w:r>
        <w:rPr>
          <w:rFonts w:hint="eastAsia" w:ascii="宋体" w:hAnsi="宋体" w:eastAsia="宋体" w:cs="Times New Roman"/>
          <w:color w:val="FF0000"/>
          <w:sz w:val="24"/>
          <w:szCs w:val="20"/>
          <w:lang w:val="zh-CN"/>
        </w:rPr>
        <w:t>采购人（或代理公司）</w:t>
      </w:r>
      <w:r>
        <w:rPr>
          <w:rFonts w:ascii="宋体" w:hAnsi="宋体" w:eastAsia="宋体" w:cs="Times New Roman"/>
          <w:sz w:val="24"/>
          <w:szCs w:val="20"/>
          <w:lang w:val="zh-CN"/>
        </w:rPr>
        <w:t>提出</w:t>
      </w:r>
      <w:r>
        <w:rPr>
          <w:rFonts w:hint="eastAsia" w:ascii="宋体" w:hAnsi="宋体" w:eastAsia="宋体" w:cs="Times New Roman"/>
          <w:sz w:val="24"/>
          <w:szCs w:val="20"/>
          <w:lang w:val="zh-CN"/>
        </w:rPr>
        <w:t>书面</w:t>
      </w:r>
      <w:r>
        <w:rPr>
          <w:rFonts w:ascii="宋体" w:hAnsi="宋体" w:eastAsia="宋体" w:cs="Times New Roman"/>
          <w:sz w:val="24"/>
          <w:szCs w:val="20"/>
          <w:lang w:val="zh-CN"/>
        </w:rPr>
        <w:t>质疑</w:t>
      </w:r>
      <w:r>
        <w:rPr>
          <w:rFonts w:hint="eastAsia" w:ascii="宋体" w:hAnsi="宋体" w:eastAsia="宋体" w:cs="Times New Roman"/>
          <w:sz w:val="24"/>
          <w:szCs w:val="20"/>
          <w:lang w:val="zh-CN"/>
        </w:rPr>
        <w:t>，质疑提出时间以收到之日为准。</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投标人</w:t>
      </w:r>
      <w:r>
        <w:rPr>
          <w:rFonts w:ascii="宋体" w:hAnsi="宋体" w:eastAsia="宋体" w:cs="Times New Roman"/>
          <w:b/>
          <w:sz w:val="24"/>
          <w:szCs w:val="20"/>
          <w:lang w:val="zh-CN"/>
        </w:rPr>
        <w:t>应知其权益受到损害之日是指：</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对可以质疑的</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文件提出质疑的，为收到</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文件之日或者</w:t>
      </w:r>
      <w:r>
        <w:rPr>
          <w:rFonts w:hint="eastAsia" w:ascii="宋体" w:hAnsi="宋体" w:eastAsia="宋体" w:cs="Times New Roman"/>
          <w:sz w:val="24"/>
          <w:szCs w:val="20"/>
          <w:lang w:val="zh-CN"/>
        </w:rPr>
        <w:t>招标</w:t>
      </w:r>
      <w:r>
        <w:rPr>
          <w:rFonts w:ascii="宋体" w:hAnsi="宋体" w:eastAsia="宋体" w:cs="Times New Roman"/>
          <w:sz w:val="24"/>
          <w:szCs w:val="20"/>
          <w:lang w:val="zh-CN"/>
        </w:rPr>
        <w:t>文件公告期限届满之日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w:t>
      </w:r>
      <w:r>
        <w:rPr>
          <w:rFonts w:hint="eastAsia" w:ascii="宋体" w:hAnsi="宋体" w:eastAsia="宋体" w:cs="Times New Roman"/>
          <w:sz w:val="24"/>
          <w:szCs w:val="20"/>
          <w:lang w:val="zh-CN"/>
        </w:rPr>
        <w:t>招标</w:t>
      </w:r>
      <w:r>
        <w:rPr>
          <w:rFonts w:ascii="宋体" w:hAnsi="宋体" w:eastAsia="宋体" w:cs="Times New Roman"/>
          <w:sz w:val="24"/>
          <w:szCs w:val="20"/>
          <w:lang w:val="zh-CN"/>
        </w:rPr>
        <w:t>过程提出质疑的，为各</w:t>
      </w:r>
      <w:r>
        <w:rPr>
          <w:rFonts w:hint="eastAsia" w:ascii="宋体" w:hAnsi="宋体" w:eastAsia="宋体" w:cs="Times New Roman"/>
          <w:sz w:val="24"/>
          <w:szCs w:val="20"/>
          <w:lang w:val="zh-CN"/>
        </w:rPr>
        <w:t>招标</w:t>
      </w:r>
      <w:r>
        <w:rPr>
          <w:rFonts w:ascii="宋体" w:hAnsi="宋体" w:eastAsia="宋体" w:cs="Times New Roman"/>
          <w:sz w:val="24"/>
          <w:szCs w:val="20"/>
          <w:lang w:val="zh-CN"/>
        </w:rPr>
        <w:t>程序环节结束之日</w:t>
      </w:r>
      <w:r>
        <w:rPr>
          <w:rFonts w:hint="eastAsia" w:ascii="宋体" w:hAnsi="宋体" w:eastAsia="宋体" w:cs="Times New Roman"/>
          <w:sz w:val="24"/>
          <w:szCs w:val="20"/>
          <w:lang w:val="zh-CN"/>
        </w:rPr>
        <w:t>；</w:t>
      </w:r>
    </w:p>
    <w:p>
      <w:pPr>
        <w:numPr>
          <w:ilvl w:val="0"/>
          <w:numId w:val="35"/>
        </w:numPr>
        <w:spacing w:line="360" w:lineRule="auto"/>
        <w:ind w:left="616" w:hanging="616"/>
        <w:rPr>
          <w:rFonts w:ascii="宋体" w:hAnsi="宋体" w:eastAsia="宋体" w:cs="Times New Roman"/>
          <w:sz w:val="24"/>
          <w:szCs w:val="20"/>
          <w:lang w:val="zh-CN"/>
        </w:rPr>
      </w:pPr>
      <w:r>
        <w:rPr>
          <w:rFonts w:ascii="宋体" w:hAnsi="宋体" w:eastAsia="宋体" w:cs="Times New Roman"/>
          <w:sz w:val="24"/>
          <w:szCs w:val="20"/>
          <w:lang w:val="zh-CN"/>
        </w:rPr>
        <w:t>对中标结果提出质疑的，为中标公告期限届满之日。</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质疑书应当包括下列主要内容：</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被质疑人的名称、地址、联系人及联系电话等；</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质疑项目名称及编号、质疑事项和明确的请求；</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质疑事项的事实根据、法律依据及其他必要的证明材料；</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提出质疑的日期；</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质疑人的署名及签章（质疑人为自然人的，应当由本人签字；质疑人为法人或者其他组织的，应当由法定代表人或者主要负责人签字盖章并加盖公章）；</w:t>
      </w:r>
    </w:p>
    <w:p>
      <w:pPr>
        <w:numPr>
          <w:ilvl w:val="0"/>
          <w:numId w:val="36"/>
        </w:numPr>
        <w:spacing w:line="360" w:lineRule="auto"/>
        <w:ind w:left="616" w:hanging="616"/>
        <w:rPr>
          <w:rFonts w:ascii="宋体" w:hAnsi="宋体" w:eastAsia="宋体" w:cs="Times New Roman"/>
          <w:sz w:val="24"/>
          <w:szCs w:val="20"/>
          <w:lang w:val="zh-CN"/>
        </w:rPr>
      </w:pPr>
      <w:r>
        <w:rPr>
          <w:rFonts w:hint="eastAsia" w:ascii="宋体" w:hAnsi="宋体" w:eastAsia="宋体" w:cs="Times New Roman"/>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sz w:val="24"/>
          <w:szCs w:val="20"/>
          <w:lang w:val="zh-CN"/>
        </w:rPr>
      </w:pPr>
      <w:r>
        <w:rPr>
          <w:rFonts w:hint="eastAsia" w:ascii="宋体" w:hAnsi="宋体" w:eastAsia="宋体" w:cs="Times New Roman"/>
          <w:b/>
          <w:sz w:val="24"/>
          <w:szCs w:val="20"/>
          <w:lang w:val="zh-CN"/>
        </w:rPr>
        <w:t>不予受理的情形</w:t>
      </w:r>
    </w:p>
    <w:p>
      <w:pPr>
        <w:spacing w:line="360" w:lineRule="auto"/>
        <w:ind w:firstLine="480" w:firstLineChars="200"/>
        <w:rPr>
          <w:rFonts w:ascii="宋体" w:hAnsi="宋体" w:eastAsia="宋体" w:cs="Times New Roman"/>
          <w:color w:val="FF0000"/>
          <w:sz w:val="24"/>
          <w:szCs w:val="20"/>
          <w:lang w:val="zh-CN"/>
        </w:rPr>
      </w:pPr>
      <w:r>
        <w:rPr>
          <w:rFonts w:hint="eastAsia" w:ascii="宋体" w:hAnsi="宋体" w:eastAsia="宋体" w:cs="Times New Roman"/>
          <w:sz w:val="24"/>
          <w:szCs w:val="20"/>
          <w:lang w:val="zh-CN"/>
        </w:rPr>
        <w:t>投标人未按本章“质疑及提交”规定的时限、内容及方式进行质疑的，</w:t>
      </w:r>
      <w:r>
        <w:rPr>
          <w:rFonts w:hint="eastAsia" w:ascii="宋体" w:hAnsi="宋体" w:eastAsia="宋体" w:cs="Times New Roman"/>
          <w:color w:val="FF0000"/>
          <w:sz w:val="24"/>
          <w:szCs w:val="20"/>
          <w:lang w:val="zh-CN"/>
        </w:rPr>
        <w:t>采购人（或代理公司）不予受理。</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28" w:name="_Toc48230892"/>
      <w:bookmarkStart w:id="29" w:name="_Toc494561947"/>
      <w:r>
        <w:rPr>
          <w:rFonts w:hint="eastAsia" w:cs="Times New Roman" w:asciiTheme="majorEastAsia" w:hAnsiTheme="majorEastAsia"/>
          <w:bCs w:val="0"/>
          <w:lang w:val="zh-CN"/>
        </w:rPr>
        <w:t>相关条文解读</w:t>
      </w:r>
      <w:bookmarkEnd w:id="28"/>
      <w:bookmarkEnd w:id="29"/>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政府采购法第二十二条第一款第五项所称重大违法记录，是指</w:t>
      </w:r>
      <w:r>
        <w:rPr>
          <w:rFonts w:hint="eastAsia" w:ascii="宋体" w:hAnsi="宋体" w:eastAsia="宋体" w:cs="Times New Roman"/>
          <w:sz w:val="24"/>
          <w:szCs w:val="20"/>
        </w:rPr>
        <w:t>投标人</w:t>
      </w:r>
      <w:r>
        <w:rPr>
          <w:rFonts w:hint="eastAsia" w:ascii="宋体" w:hAnsi="宋体" w:eastAsia="宋体" w:cs="Times New Roman"/>
          <w:sz w:val="24"/>
          <w:szCs w:val="20"/>
          <w:lang w:val="zh-CN"/>
        </w:rPr>
        <w:t>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按照财政部《关于规范政府采购行政处罚有关问题的通知》的规定，</w:t>
      </w:r>
      <w:r>
        <w:rPr>
          <w:rFonts w:ascii="宋体" w:hAnsi="宋体" w:eastAsia="宋体" w:cs="Times New Roman"/>
          <w:sz w:val="24"/>
          <w:szCs w:val="20"/>
          <w:lang w:val="zh-CN"/>
        </w:rPr>
        <w:t>各级人民政府财政部门依法对参加政府采购活动的</w:t>
      </w:r>
      <w:r>
        <w:rPr>
          <w:rFonts w:hint="eastAsia" w:ascii="宋体" w:hAnsi="宋体" w:eastAsia="宋体" w:cs="Times New Roman"/>
          <w:sz w:val="24"/>
          <w:szCs w:val="20"/>
        </w:rPr>
        <w:t>投标人</w:t>
      </w:r>
      <w:r>
        <w:rPr>
          <w:rFonts w:ascii="宋体" w:hAnsi="宋体" w:eastAsia="宋体" w:cs="Times New Roman"/>
          <w:sz w:val="24"/>
          <w:szCs w:val="20"/>
          <w:lang w:val="zh-CN"/>
        </w:rPr>
        <w:t>作出的禁止参加政府采购活动等行政处罚决定在全国范围内生效。</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rPr>
        <w:t>投标人</w:t>
      </w:r>
      <w:r>
        <w:rPr>
          <w:rFonts w:hint="eastAsia" w:ascii="宋体" w:hAnsi="宋体" w:eastAsia="宋体" w:cs="Times New Roman"/>
          <w:sz w:val="24"/>
          <w:szCs w:val="20"/>
          <w:lang w:val="zh-CN"/>
        </w:rPr>
        <w:t>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根据财政部《政府采购法实施条例》释义中关于</w:t>
      </w:r>
      <w:r>
        <w:rPr>
          <w:rFonts w:hint="eastAsia" w:ascii="宋体" w:hAnsi="宋体" w:eastAsia="宋体" w:cs="Times New Roman"/>
          <w:sz w:val="24"/>
          <w:szCs w:val="20"/>
        </w:rPr>
        <w:t>投标人</w:t>
      </w:r>
      <w:r>
        <w:rPr>
          <w:rFonts w:hint="eastAsia" w:ascii="宋体" w:hAnsi="宋体" w:eastAsia="宋体" w:cs="Times New Roman"/>
          <w:sz w:val="24"/>
          <w:szCs w:val="20"/>
          <w:lang w:val="zh-CN"/>
        </w:rPr>
        <w:t>资格条件的解释，对于银行、保险、石油石化、电力、电信等有行业特殊情况的，采购人和采购代理机构允许其分支机构参与投标。</w:t>
      </w:r>
    </w:p>
    <w:p>
      <w:pPr>
        <w:pStyle w:val="3"/>
        <w:numPr>
          <w:ilvl w:val="0"/>
          <w:numId w:val="4"/>
        </w:numPr>
        <w:spacing w:before="40" w:after="40" w:line="360" w:lineRule="auto"/>
        <w:ind w:left="658" w:hanging="658"/>
        <w:jc w:val="left"/>
        <w:rPr>
          <w:rFonts w:cs="Times New Roman" w:asciiTheme="majorEastAsia" w:hAnsiTheme="majorEastAsia"/>
          <w:bCs w:val="0"/>
          <w:lang w:val="zh-CN"/>
        </w:rPr>
      </w:pPr>
      <w:bookmarkStart w:id="30" w:name="_Toc48230893"/>
      <w:bookmarkStart w:id="31" w:name="_Toc494561948"/>
      <w:r>
        <w:rPr>
          <w:rFonts w:hint="eastAsia" w:cs="Times New Roman" w:asciiTheme="majorEastAsia" w:hAnsiTheme="majorEastAsia"/>
          <w:bCs w:val="0"/>
          <w:lang w:val="zh-CN"/>
        </w:rPr>
        <w:t>其他注意事项</w:t>
      </w:r>
      <w:bookmarkEnd w:id="30"/>
      <w:bookmarkEnd w:id="31"/>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单位负责人为同一人或者存在直接控股、管理关系的不同</w:t>
      </w:r>
      <w:r>
        <w:rPr>
          <w:rFonts w:hint="eastAsia" w:ascii="宋体" w:hAnsi="宋体" w:eastAsia="宋体" w:cs="Times New Roman"/>
          <w:sz w:val="24"/>
          <w:szCs w:val="20"/>
        </w:rPr>
        <w:t>投标人</w:t>
      </w:r>
      <w:r>
        <w:rPr>
          <w:rFonts w:hint="eastAsia" w:ascii="宋体" w:hAnsi="宋体" w:eastAsia="宋体" w:cs="Times New Roman"/>
          <w:sz w:val="24"/>
          <w:szCs w:val="20"/>
          <w:lang w:val="zh-CN"/>
        </w:rPr>
        <w:t>，不得参加同一合同项下的政府采购活动。</w:t>
      </w:r>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除单一来源采购项目外，为采购项目提供整体设计、规范编制或者项目管理、监理、检测等服务的</w:t>
      </w:r>
      <w:r>
        <w:rPr>
          <w:rFonts w:hint="eastAsia" w:ascii="宋体" w:hAnsi="宋体" w:eastAsia="宋体" w:cs="Times New Roman"/>
          <w:sz w:val="24"/>
          <w:szCs w:val="20"/>
        </w:rPr>
        <w:t>投标人</w:t>
      </w:r>
      <w:r>
        <w:rPr>
          <w:rFonts w:hint="eastAsia" w:ascii="宋体" w:hAnsi="宋体" w:eastAsia="宋体" w:cs="Times New Roman"/>
          <w:sz w:val="24"/>
          <w:szCs w:val="20"/>
          <w:lang w:val="zh-CN"/>
        </w:rPr>
        <w:t>，不得再参加该采购项目的其他采购活动。</w:t>
      </w:r>
    </w:p>
    <w:p>
      <w:pPr>
        <w:pStyle w:val="3"/>
        <w:numPr>
          <w:ilvl w:val="0"/>
          <w:numId w:val="4"/>
        </w:numPr>
        <w:spacing w:before="40" w:after="40" w:line="360" w:lineRule="auto"/>
        <w:ind w:left="966" w:hanging="966"/>
        <w:jc w:val="left"/>
        <w:rPr>
          <w:rFonts w:cs="Times New Roman" w:asciiTheme="majorEastAsia" w:hAnsiTheme="majorEastAsia"/>
          <w:bCs w:val="0"/>
          <w:lang w:val="zh-CN"/>
        </w:rPr>
      </w:pPr>
      <w:bookmarkStart w:id="32" w:name="_Toc278891598"/>
      <w:bookmarkStart w:id="33" w:name="_Toc48230894"/>
      <w:bookmarkStart w:id="34" w:name="_Toc494561949"/>
      <w:bookmarkStart w:id="35" w:name="_Toc272247701"/>
      <w:r>
        <w:rPr>
          <w:rFonts w:hint="eastAsia" w:cs="Times New Roman" w:asciiTheme="majorEastAsia" w:hAnsiTheme="majorEastAsia"/>
          <w:bCs w:val="0"/>
          <w:lang w:val="zh-CN"/>
        </w:rPr>
        <w:t>适用法律</w:t>
      </w:r>
      <w:bookmarkEnd w:id="32"/>
      <w:bookmarkEnd w:id="33"/>
      <w:bookmarkEnd w:id="34"/>
      <w:bookmarkEnd w:id="35"/>
    </w:p>
    <w:p>
      <w:pPr>
        <w:numPr>
          <w:ilvl w:val="0"/>
          <w:numId w:val="5"/>
        </w:numPr>
        <w:spacing w:line="360" w:lineRule="auto"/>
        <w:ind w:left="560" w:hanging="560"/>
        <w:rPr>
          <w:rFonts w:ascii="宋体" w:hAnsi="宋体" w:eastAsia="宋体" w:cs="Times New Roman"/>
          <w:sz w:val="24"/>
          <w:szCs w:val="20"/>
          <w:lang w:val="zh-CN"/>
        </w:rPr>
      </w:pPr>
      <w:r>
        <w:rPr>
          <w:rFonts w:hint="eastAsia" w:ascii="宋体" w:hAnsi="宋体" w:eastAsia="宋体" w:cs="Times New Roman"/>
          <w:sz w:val="24"/>
          <w:szCs w:val="20"/>
          <w:lang w:val="zh-CN"/>
        </w:rPr>
        <w:t>采购人、采购代理机构及投标人的一切招标投标活动均适用《政府采购法》、《政府采购法实施条例》、</w:t>
      </w:r>
      <w:r>
        <w:rPr>
          <w:rFonts w:ascii="宋体" w:hAnsi="宋体" w:eastAsia="宋体" w:cs="Times New Roman"/>
          <w:sz w:val="24"/>
          <w:szCs w:val="20"/>
          <w:lang w:val="zh-CN"/>
        </w:rPr>
        <w:t>《政府采购货物和服务招标投标管理办法》</w:t>
      </w:r>
      <w:r>
        <w:rPr>
          <w:rFonts w:hint="eastAsia" w:ascii="宋体" w:hAnsi="宋体" w:eastAsia="宋体" w:cs="Times New Roman"/>
          <w:sz w:val="24"/>
          <w:szCs w:val="20"/>
          <w:lang w:val="zh-CN"/>
        </w:rPr>
        <w:t>及相关法律法规。</w:t>
      </w:r>
    </w:p>
    <w:p>
      <w:pPr>
        <w:numPr>
          <w:ilvl w:val="0"/>
          <w:numId w:val="5"/>
        </w:numPr>
        <w:spacing w:line="360" w:lineRule="auto"/>
        <w:ind w:left="560" w:hanging="560"/>
        <w:rPr>
          <w:rFonts w:ascii="宋体" w:hAnsi="宋体" w:eastAsia="宋体" w:cs="Times New Roman"/>
          <w:sz w:val="24"/>
          <w:szCs w:val="20"/>
          <w:lang w:val="zh-CN"/>
        </w:rPr>
      </w:pPr>
      <w:r>
        <w:rPr>
          <w:rFonts w:ascii="Helvetica" w:hAnsi="Helvetica" w:eastAsia="宋体" w:cs="Helvetica"/>
          <w:kern w:val="0"/>
          <w:sz w:val="24"/>
          <w:szCs w:val="24"/>
          <w:lang w:val="zh-CN"/>
        </w:rPr>
        <w:t>政府采购合同的履行、违约责任和解决争议的方法等适用《合同法》。</w:t>
      </w:r>
    </w:p>
    <w:p>
      <w:pPr>
        <w:pStyle w:val="3"/>
        <w:numPr>
          <w:ilvl w:val="0"/>
          <w:numId w:val="4"/>
        </w:numPr>
        <w:spacing w:before="40" w:after="40" w:line="360" w:lineRule="auto"/>
        <w:ind w:left="966" w:hanging="966"/>
        <w:jc w:val="left"/>
        <w:rPr>
          <w:rFonts w:cs="Times New Roman" w:asciiTheme="majorEastAsia" w:hAnsiTheme="majorEastAsia"/>
          <w:bCs w:val="0"/>
          <w:lang w:val="zh-CN"/>
        </w:rPr>
      </w:pPr>
      <w:bookmarkStart w:id="36" w:name="_Toc494561950"/>
      <w:bookmarkStart w:id="37" w:name="_Toc278891599"/>
      <w:bookmarkStart w:id="38" w:name="_Toc272247702"/>
      <w:bookmarkStart w:id="39" w:name="_Toc48230895"/>
      <w:r>
        <w:rPr>
          <w:rFonts w:hint="eastAsia" w:cs="Times New Roman" w:asciiTheme="majorEastAsia" w:hAnsiTheme="majorEastAsia"/>
          <w:bCs w:val="0"/>
          <w:lang w:val="zh-CN"/>
        </w:rPr>
        <w:t>招标文件的解释权</w:t>
      </w:r>
      <w:bookmarkEnd w:id="36"/>
      <w:bookmarkEnd w:id="37"/>
      <w:bookmarkEnd w:id="38"/>
      <w:bookmarkEnd w:id="39"/>
    </w:p>
    <w:p>
      <w:pPr>
        <w:numPr>
          <w:ilvl w:val="0"/>
          <w:numId w:val="5"/>
        </w:numPr>
        <w:spacing w:line="360" w:lineRule="auto"/>
        <w:ind w:left="560" w:hanging="560"/>
      </w:pPr>
      <w:r>
        <w:rPr>
          <w:rFonts w:hint="eastAsia" w:ascii="宋体" w:hAnsi="宋体" w:eastAsia="宋体" w:cs="Times New Roman"/>
          <w:sz w:val="24"/>
          <w:szCs w:val="20"/>
          <w:lang w:val="zh-CN"/>
        </w:rPr>
        <w:t>招标文件的最终解释权为</w:t>
      </w:r>
      <w:r>
        <w:rPr>
          <w:rFonts w:hint="eastAsia" w:ascii="宋体" w:hAnsi="宋体" w:eastAsia="宋体" w:cs="Times New Roman"/>
          <w:color w:val="FF0000"/>
          <w:sz w:val="24"/>
          <w:szCs w:val="20"/>
          <w:lang w:val="zh-CN"/>
        </w:rPr>
        <w:t>采购人、采购代理机构</w:t>
      </w:r>
      <w:r>
        <w:rPr>
          <w:rFonts w:hint="eastAsia" w:ascii="宋体" w:hAnsi="宋体" w:eastAsia="宋体" w:cs="Times New Roman"/>
          <w:sz w:val="24"/>
          <w:szCs w:val="20"/>
          <w:lang w:val="zh-CN"/>
        </w:rPr>
        <w:t>所有。</w:t>
      </w:r>
      <w:r>
        <w:br w:type="page"/>
      </w:r>
    </w:p>
    <w:p>
      <w:pPr>
        <w:pStyle w:val="2"/>
        <w:numPr>
          <w:ilvl w:val="0"/>
          <w:numId w:val="1"/>
        </w:numPr>
        <w:jc w:val="center"/>
        <w:rPr>
          <w:rFonts w:ascii="黑体" w:hAnsi="黑体" w:eastAsia="黑体"/>
        </w:rPr>
      </w:pPr>
      <w:bookmarkStart w:id="40" w:name="_Toc48230896"/>
      <w:r>
        <w:rPr>
          <w:rFonts w:hint="eastAsia" w:ascii="黑体" w:hAnsi="黑体" w:eastAsia="黑体"/>
        </w:rPr>
        <w:t>项目技术、服务及商务要求</w:t>
      </w:r>
      <w:bookmarkEnd w:id="40"/>
    </w:p>
    <w:p>
      <w:pPr>
        <w:pStyle w:val="3"/>
        <w:numPr>
          <w:ilvl w:val="0"/>
          <w:numId w:val="37"/>
        </w:numPr>
        <w:spacing w:before="0" w:after="0" w:line="360" w:lineRule="auto"/>
        <w:ind w:left="616" w:hanging="616"/>
        <w:jc w:val="left"/>
        <w:rPr>
          <w:rFonts w:ascii="宋体" w:hAnsi="宋体" w:cs="宋体"/>
        </w:rPr>
      </w:pPr>
      <w:bookmarkStart w:id="41" w:name="_Toc38442144"/>
      <w:bookmarkStart w:id="42" w:name="_Toc338065593"/>
      <w:bookmarkStart w:id="43" w:name="_Toc339378679"/>
      <w:bookmarkStart w:id="44" w:name="_Toc494561952"/>
      <w:bookmarkStart w:id="45" w:name="_Toc494561953"/>
      <w:bookmarkStart w:id="46" w:name="_Toc48230898"/>
      <w:bookmarkStart w:id="47" w:name="_Toc339378680"/>
      <w:bookmarkStart w:id="48" w:name="_Toc338065594"/>
      <w:r>
        <w:rPr>
          <w:rFonts w:hint="eastAsia" w:cs="Times New Roman" w:asciiTheme="majorEastAsia" w:hAnsiTheme="majorEastAsia"/>
          <w:bCs w:val="0"/>
          <w:lang w:val="zh-CN"/>
        </w:rPr>
        <w:t>采购清单</w:t>
      </w:r>
      <w:bookmarkEnd w:id="41"/>
      <w:bookmarkEnd w:id="42"/>
      <w:bookmarkEnd w:id="43"/>
      <w:bookmarkEnd w:id="44"/>
    </w:p>
    <w:tbl>
      <w:tblPr>
        <w:tblStyle w:val="16"/>
        <w:tblW w:w="9555" w:type="dxa"/>
        <w:tblInd w:w="93" w:type="dxa"/>
        <w:tblLayout w:type="fixed"/>
        <w:tblCellMar>
          <w:top w:w="0" w:type="dxa"/>
          <w:left w:w="108" w:type="dxa"/>
          <w:bottom w:w="0" w:type="dxa"/>
          <w:right w:w="108" w:type="dxa"/>
        </w:tblCellMar>
      </w:tblPr>
      <w:tblGrid>
        <w:gridCol w:w="634"/>
        <w:gridCol w:w="3971"/>
        <w:gridCol w:w="804"/>
        <w:gridCol w:w="911"/>
        <w:gridCol w:w="1798"/>
        <w:gridCol w:w="1437"/>
      </w:tblGrid>
      <w:tr>
        <w:tblPrEx>
          <w:tblCellMar>
            <w:top w:w="0" w:type="dxa"/>
            <w:left w:w="108" w:type="dxa"/>
            <w:bottom w:w="0" w:type="dxa"/>
            <w:right w:w="108" w:type="dxa"/>
          </w:tblCellMar>
        </w:tblPrEx>
        <w:trPr>
          <w:trHeight w:val="26" w:hRule="atLeast"/>
        </w:trPr>
        <w:tc>
          <w:tcPr>
            <w:tcW w:w="634" w:type="dxa"/>
            <w:tcBorders>
              <w:top w:val="single" w:color="auto" w:sz="4" w:space="0"/>
              <w:left w:val="single" w:color="auto" w:sz="4" w:space="0"/>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sz w:val="24"/>
                <w:szCs w:val="24"/>
              </w:rPr>
            </w:pPr>
            <w:r>
              <w:rPr>
                <w:rFonts w:hint="eastAsia" w:ascii="宋体" w:hAnsi="宋体"/>
                <w:sz w:val="24"/>
                <w:szCs w:val="24"/>
              </w:rPr>
              <w:t>序号</w:t>
            </w:r>
          </w:p>
        </w:tc>
        <w:tc>
          <w:tcPr>
            <w:tcW w:w="3971" w:type="dxa"/>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sz w:val="24"/>
                <w:szCs w:val="24"/>
              </w:rPr>
            </w:pPr>
            <w:r>
              <w:rPr>
                <w:rFonts w:hint="eastAsia" w:ascii="宋体" w:hAnsi="宋体"/>
                <w:sz w:val="24"/>
                <w:szCs w:val="24"/>
              </w:rPr>
              <w:t>名称</w:t>
            </w:r>
          </w:p>
        </w:tc>
        <w:tc>
          <w:tcPr>
            <w:tcW w:w="804"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sz w:val="24"/>
                <w:szCs w:val="24"/>
              </w:rPr>
            </w:pPr>
            <w:r>
              <w:rPr>
                <w:rFonts w:hint="eastAsia" w:ascii="宋体" w:hAnsi="宋体"/>
                <w:sz w:val="24"/>
                <w:szCs w:val="24"/>
              </w:rPr>
              <w:t>数量</w:t>
            </w:r>
          </w:p>
        </w:tc>
        <w:tc>
          <w:tcPr>
            <w:tcW w:w="911"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sz w:val="24"/>
                <w:szCs w:val="24"/>
              </w:rPr>
            </w:pPr>
            <w:r>
              <w:rPr>
                <w:rFonts w:hint="eastAsia" w:ascii="宋体" w:hAnsi="宋体"/>
                <w:sz w:val="24"/>
                <w:szCs w:val="24"/>
              </w:rPr>
              <w:t>单位</w:t>
            </w:r>
          </w:p>
        </w:tc>
        <w:tc>
          <w:tcPr>
            <w:tcW w:w="1798" w:type="dxa"/>
            <w:tcBorders>
              <w:top w:val="single" w:color="auto" w:sz="4" w:space="0"/>
              <w:left w:val="nil"/>
              <w:bottom w:val="single" w:color="auto" w:sz="4" w:space="0"/>
              <w:right w:val="single" w:color="auto" w:sz="4" w:space="0"/>
            </w:tcBorders>
            <w:shd w:val="clear" w:color="auto" w:fill="DDD9C3"/>
            <w:vAlign w:val="center"/>
          </w:tcPr>
          <w:p>
            <w:pPr>
              <w:spacing w:line="360" w:lineRule="auto"/>
              <w:jc w:val="center"/>
              <w:rPr>
                <w:rFonts w:ascii="宋体" w:hAnsi="宋体"/>
                <w:sz w:val="24"/>
                <w:szCs w:val="24"/>
              </w:rPr>
            </w:pPr>
            <w:r>
              <w:rPr>
                <w:rFonts w:hint="eastAsia" w:ascii="宋体" w:hAnsi="宋体"/>
                <w:sz w:val="24"/>
                <w:szCs w:val="24"/>
              </w:rPr>
              <w:t>要求/备注</w:t>
            </w:r>
          </w:p>
        </w:tc>
        <w:tc>
          <w:tcPr>
            <w:tcW w:w="1437" w:type="dxa"/>
            <w:tcBorders>
              <w:top w:val="single" w:color="auto" w:sz="4" w:space="0"/>
              <w:left w:val="nil"/>
              <w:bottom w:val="single" w:color="auto" w:sz="4" w:space="0"/>
              <w:right w:val="single" w:color="auto" w:sz="4" w:space="0"/>
            </w:tcBorders>
            <w:shd w:val="clear" w:color="auto" w:fill="DDD9C3"/>
            <w:vAlign w:val="center"/>
          </w:tcPr>
          <w:p>
            <w:pPr>
              <w:spacing w:line="360" w:lineRule="auto"/>
              <w:ind w:left="-48" w:leftChars="-23" w:right="-48" w:rightChars="-23"/>
              <w:jc w:val="center"/>
              <w:rPr>
                <w:rFonts w:ascii="宋体" w:hAnsi="宋体"/>
                <w:sz w:val="24"/>
                <w:szCs w:val="24"/>
              </w:rPr>
            </w:pPr>
            <w:r>
              <w:rPr>
                <w:rFonts w:hint="eastAsia" w:ascii="宋体" w:hAnsi="宋体"/>
                <w:sz w:val="24"/>
                <w:szCs w:val="24"/>
              </w:rPr>
              <w:t>货物/服务</w:t>
            </w:r>
          </w:p>
        </w:tc>
      </w:tr>
      <w:tr>
        <w:tblPrEx>
          <w:tblCellMar>
            <w:top w:w="0" w:type="dxa"/>
            <w:left w:w="108" w:type="dxa"/>
            <w:bottom w:w="0" w:type="dxa"/>
            <w:right w:w="108" w:type="dxa"/>
          </w:tblCellMar>
        </w:tblPrEx>
        <w:trPr>
          <w:trHeight w:val="998" w:hRule="atLeast"/>
        </w:trPr>
        <w:tc>
          <w:tcPr>
            <w:tcW w:w="634" w:type="dxa"/>
            <w:tcBorders>
              <w:top w:val="nil"/>
              <w:left w:val="single" w:color="auto" w:sz="4" w:space="0"/>
              <w:bottom w:val="single" w:color="auto" w:sz="4" w:space="0"/>
              <w:right w:val="single" w:color="auto" w:sz="4" w:space="0"/>
            </w:tcBorders>
            <w:shd w:val="clear" w:color="auto" w:fill="auto"/>
            <w:vAlign w:val="center"/>
          </w:tcPr>
          <w:p>
            <w:pPr>
              <w:pStyle w:val="25"/>
              <w:tabs>
                <w:tab w:val="left" w:pos="33"/>
              </w:tabs>
              <w:spacing w:line="360" w:lineRule="auto"/>
              <w:ind w:left="-96" w:right="-48" w:rightChars="-23" w:firstLine="0" w:firstLineChars="0"/>
              <w:jc w:val="center"/>
              <w:rPr>
                <w:rFonts w:ascii="宋体" w:hAnsi="宋体"/>
                <w:sz w:val="24"/>
                <w:szCs w:val="24"/>
              </w:rPr>
            </w:pPr>
            <w:r>
              <w:rPr>
                <w:rFonts w:hint="eastAsia" w:ascii="宋体" w:hAnsi="宋体"/>
                <w:sz w:val="24"/>
                <w:szCs w:val="24"/>
              </w:rPr>
              <w:t>1</w:t>
            </w:r>
          </w:p>
        </w:tc>
        <w:tc>
          <w:tcPr>
            <w:tcW w:w="3971" w:type="dxa"/>
            <w:tcBorders>
              <w:top w:val="nil"/>
              <w:left w:val="single" w:color="auto" w:sz="4" w:space="0"/>
              <w:bottom w:val="single" w:color="auto" w:sz="4" w:space="0"/>
              <w:right w:val="single" w:color="auto" w:sz="4" w:space="0"/>
            </w:tcBorders>
            <w:shd w:val="clear" w:color="auto" w:fill="auto"/>
            <w:vAlign w:val="center"/>
          </w:tcPr>
          <w:p>
            <w:pPr>
              <w:spacing w:line="360" w:lineRule="auto"/>
              <w:ind w:left="-48" w:leftChars="-23" w:right="-48" w:rightChars="-23"/>
              <w:jc w:val="center"/>
              <w:rPr>
                <w:rFonts w:ascii="宋体" w:hAnsi="宋体"/>
                <w:sz w:val="24"/>
                <w:szCs w:val="24"/>
              </w:rPr>
            </w:pPr>
            <w:r>
              <w:rPr>
                <w:rFonts w:hint="eastAsia" w:ascii="宋体" w:hAnsi="宋体"/>
                <w:sz w:val="24"/>
                <w:szCs w:val="24"/>
              </w:rPr>
              <w:t>湖北阳新经济开发区总体规划（2019-2030年）（调整）环评项目</w:t>
            </w:r>
          </w:p>
        </w:tc>
        <w:tc>
          <w:tcPr>
            <w:tcW w:w="804" w:type="dxa"/>
            <w:tcBorders>
              <w:top w:val="nil"/>
              <w:left w:val="single" w:color="auto" w:sz="4" w:space="0"/>
              <w:bottom w:val="single" w:color="auto" w:sz="4" w:space="0"/>
              <w:right w:val="single" w:color="auto" w:sz="4" w:space="0"/>
            </w:tcBorders>
            <w:shd w:val="clear" w:color="auto" w:fill="auto"/>
            <w:vAlign w:val="center"/>
          </w:tcPr>
          <w:p>
            <w:pPr>
              <w:spacing w:line="360" w:lineRule="auto"/>
              <w:ind w:left="-48" w:leftChars="-23" w:right="-48" w:rightChars="-23"/>
              <w:jc w:val="center"/>
              <w:rPr>
                <w:rFonts w:ascii="宋体" w:hAnsi="宋体"/>
                <w:sz w:val="24"/>
                <w:szCs w:val="24"/>
              </w:rPr>
            </w:pPr>
            <w:r>
              <w:rPr>
                <w:rFonts w:hint="eastAsia" w:ascii="宋体" w:hAnsi="宋体"/>
                <w:sz w:val="24"/>
                <w:szCs w:val="24"/>
              </w:rPr>
              <w:t>1</w:t>
            </w:r>
          </w:p>
        </w:tc>
        <w:tc>
          <w:tcPr>
            <w:tcW w:w="911" w:type="dxa"/>
            <w:tcBorders>
              <w:top w:val="nil"/>
              <w:left w:val="single" w:color="auto" w:sz="4" w:space="0"/>
              <w:bottom w:val="single" w:color="auto" w:sz="4" w:space="0"/>
              <w:right w:val="single" w:color="auto" w:sz="4" w:space="0"/>
            </w:tcBorders>
            <w:shd w:val="clear" w:color="auto" w:fill="auto"/>
            <w:vAlign w:val="center"/>
          </w:tcPr>
          <w:p>
            <w:pPr>
              <w:spacing w:line="360" w:lineRule="auto"/>
              <w:ind w:left="-48" w:leftChars="-23" w:right="-48" w:rightChars="-23"/>
              <w:jc w:val="center"/>
              <w:rPr>
                <w:rFonts w:ascii="宋体" w:hAnsi="宋体"/>
                <w:sz w:val="24"/>
                <w:szCs w:val="24"/>
              </w:rPr>
            </w:pPr>
            <w:r>
              <w:rPr>
                <w:rFonts w:hint="eastAsia" w:ascii="宋体" w:hAnsi="宋体"/>
                <w:sz w:val="24"/>
                <w:szCs w:val="24"/>
              </w:rPr>
              <w:t>项</w:t>
            </w:r>
          </w:p>
        </w:tc>
        <w:tc>
          <w:tcPr>
            <w:tcW w:w="1798" w:type="dxa"/>
            <w:tcBorders>
              <w:top w:val="nil"/>
              <w:left w:val="single" w:color="auto" w:sz="4" w:space="0"/>
              <w:bottom w:val="single" w:color="auto" w:sz="4" w:space="0"/>
              <w:right w:val="single" w:color="auto" w:sz="4" w:space="0"/>
            </w:tcBorders>
            <w:shd w:val="clear" w:color="auto" w:fill="auto"/>
            <w:vAlign w:val="center"/>
          </w:tcPr>
          <w:p>
            <w:pPr>
              <w:spacing w:line="360" w:lineRule="auto"/>
              <w:ind w:left="-48" w:leftChars="-23" w:right="-48" w:rightChars="-23"/>
              <w:jc w:val="center"/>
              <w:rPr>
                <w:rFonts w:ascii="宋体" w:hAnsi="宋体"/>
                <w:sz w:val="24"/>
                <w:szCs w:val="24"/>
              </w:rPr>
            </w:pPr>
            <w:r>
              <w:rPr>
                <w:rFonts w:hint="eastAsia" w:ascii="宋体" w:hAnsi="宋体"/>
                <w:sz w:val="24"/>
                <w:szCs w:val="24"/>
              </w:rPr>
              <w:t>/</w:t>
            </w:r>
          </w:p>
        </w:tc>
        <w:tc>
          <w:tcPr>
            <w:tcW w:w="1437" w:type="dxa"/>
            <w:tcBorders>
              <w:top w:val="nil"/>
              <w:left w:val="single" w:color="auto" w:sz="4" w:space="0"/>
              <w:bottom w:val="single" w:color="auto" w:sz="4" w:space="0"/>
              <w:right w:val="single" w:color="auto" w:sz="4" w:space="0"/>
            </w:tcBorders>
            <w:shd w:val="clear" w:color="auto" w:fill="auto"/>
            <w:vAlign w:val="center"/>
          </w:tcPr>
          <w:p>
            <w:pPr>
              <w:spacing w:line="360" w:lineRule="auto"/>
              <w:ind w:left="-48" w:leftChars="-23" w:right="-48" w:rightChars="-23"/>
              <w:jc w:val="center"/>
              <w:rPr>
                <w:rFonts w:ascii="宋体" w:hAnsi="宋体"/>
                <w:sz w:val="24"/>
                <w:szCs w:val="24"/>
              </w:rPr>
            </w:pPr>
            <w:r>
              <w:rPr>
                <w:rFonts w:hint="eastAsia" w:ascii="宋体" w:hAnsi="宋体"/>
                <w:sz w:val="24"/>
                <w:szCs w:val="24"/>
              </w:rPr>
              <w:t>服务</w:t>
            </w:r>
          </w:p>
        </w:tc>
      </w:tr>
    </w:tbl>
    <w:p/>
    <w:p>
      <w:pPr>
        <w:pStyle w:val="3"/>
        <w:numPr>
          <w:ilvl w:val="0"/>
          <w:numId w:val="37"/>
        </w:numPr>
        <w:spacing w:before="0" w:after="0" w:line="360" w:lineRule="auto"/>
        <w:ind w:left="616" w:hanging="616"/>
        <w:jc w:val="left"/>
      </w:pPr>
      <w:bookmarkStart w:id="49" w:name="_Toc38442145"/>
      <w:r>
        <w:rPr>
          <w:rFonts w:hint="eastAsia" w:cs="Times New Roman" w:asciiTheme="majorEastAsia" w:hAnsiTheme="majorEastAsia"/>
          <w:bCs w:val="0"/>
          <w:lang w:val="zh-CN"/>
        </w:rPr>
        <w:t>项目概况</w:t>
      </w:r>
      <w:bookmarkEnd w:id="49"/>
    </w:p>
    <w:p>
      <w:pPr>
        <w:spacing w:line="360" w:lineRule="auto"/>
        <w:ind w:firstLine="480" w:firstLineChars="200"/>
        <w:jc w:val="left"/>
        <w:rPr>
          <w:lang w:val="zh-CN"/>
        </w:rPr>
      </w:pPr>
      <w:r>
        <w:rPr>
          <w:rFonts w:hint="eastAsia" w:ascii="宋体" w:hAnsi="宋体" w:cs="宋体"/>
          <w:sz w:val="24"/>
        </w:rPr>
        <w:t>拟通过公开招标选择一家符合资质的单位完成湖北阳新经济开发区的环境质量现状检测、现有工业企业现状调查、环评报告编制等工作。</w:t>
      </w:r>
    </w:p>
    <w:p>
      <w:pPr>
        <w:pStyle w:val="3"/>
        <w:numPr>
          <w:ilvl w:val="0"/>
          <w:numId w:val="37"/>
        </w:numPr>
        <w:spacing w:before="0" w:after="0" w:line="360" w:lineRule="auto"/>
        <w:ind w:left="616" w:hanging="616"/>
        <w:jc w:val="left"/>
        <w:rPr>
          <w:lang w:val="zh-CN"/>
        </w:rPr>
      </w:pPr>
      <w:bookmarkStart w:id="50" w:name="_Toc494561954"/>
      <w:bookmarkStart w:id="51" w:name="_Toc48230899"/>
      <w:r>
        <w:rPr>
          <w:rFonts w:hint="eastAsia"/>
          <w:lang w:val="zh-CN"/>
        </w:rPr>
        <w:t>国家相关行政主管部门颁布的强制标准、规范</w:t>
      </w:r>
      <w:bookmarkEnd w:id="50"/>
      <w:bookmarkEnd w:id="51"/>
    </w:p>
    <w:p>
      <w:pPr>
        <w:spacing w:line="360" w:lineRule="auto"/>
        <w:ind w:firstLine="475" w:firstLineChars="198"/>
        <w:rPr>
          <w:rFonts w:ascii="宋体" w:hAnsi="宋体" w:cs="宋体"/>
          <w:sz w:val="24"/>
        </w:rPr>
      </w:pPr>
      <w:r>
        <w:rPr>
          <w:rFonts w:ascii="Helvetica" w:hAnsi="Helvetica" w:eastAsia="宋体" w:cs="Helvetica"/>
          <w:kern w:val="0"/>
          <w:sz w:val="24"/>
          <w:szCs w:val="24"/>
        </w:rPr>
        <w:t>采购</w:t>
      </w:r>
      <w:r>
        <w:rPr>
          <w:rFonts w:hint="eastAsia" w:ascii="Helvetica" w:hAnsi="Helvetica" w:eastAsia="宋体" w:cs="Helvetica"/>
          <w:kern w:val="0"/>
          <w:sz w:val="24"/>
          <w:szCs w:val="24"/>
        </w:rPr>
        <w:t>内容</w:t>
      </w:r>
      <w:r>
        <w:rPr>
          <w:rFonts w:ascii="Helvetica" w:hAnsi="Helvetica" w:eastAsia="宋体" w:cs="Helvetica"/>
          <w:kern w:val="0"/>
          <w:sz w:val="24"/>
          <w:szCs w:val="24"/>
        </w:rPr>
        <w:t>需执行的国家相关标准、行业标准、地方标准或者其他标准、规范</w:t>
      </w:r>
      <w:r>
        <w:rPr>
          <w:rFonts w:hint="eastAsia" w:ascii="Helvetica" w:hAnsi="Helvetica" w:eastAsia="宋体" w:cs="Helvetica"/>
          <w:kern w:val="0"/>
          <w:sz w:val="24"/>
          <w:szCs w:val="24"/>
        </w:rPr>
        <w:t>包括：</w:t>
      </w:r>
      <w:r>
        <w:rPr>
          <w:rFonts w:ascii="Helvetica" w:hAnsi="Helvetica" w:eastAsia="宋体" w:cs="Helvetica"/>
          <w:kern w:val="0"/>
          <w:sz w:val="24"/>
          <w:szCs w:val="24"/>
        </w:rPr>
        <w:t>《中华人民共和国环境影响评价法》</w:t>
      </w:r>
      <w:r>
        <w:rPr>
          <w:rFonts w:hint="eastAsia" w:ascii="宋体" w:hAnsi="宋体" w:cs="宋体"/>
          <w:sz w:val="24"/>
        </w:rPr>
        <w:t>、《规划环境影响评价条例》、《规划环境影响评价技术导则总纲》等。</w:t>
      </w:r>
    </w:p>
    <w:p>
      <w:pPr>
        <w:pStyle w:val="3"/>
        <w:numPr>
          <w:ilvl w:val="0"/>
          <w:numId w:val="37"/>
        </w:numPr>
        <w:spacing w:before="0" w:after="0" w:line="360" w:lineRule="auto"/>
        <w:ind w:left="616" w:hanging="616"/>
        <w:jc w:val="left"/>
        <w:rPr>
          <w:rFonts w:eastAsiaTheme="minorEastAsia"/>
        </w:rPr>
      </w:pPr>
      <w:bookmarkStart w:id="52" w:name="_Toc38442146"/>
      <w:r>
        <w:rPr>
          <w:rFonts w:hint="eastAsia"/>
        </w:rPr>
        <w:t>服务要求</w:t>
      </w:r>
      <w:bookmarkEnd w:id="52"/>
    </w:p>
    <w:p>
      <w:pPr>
        <w:numPr>
          <w:ilvl w:val="0"/>
          <w:numId w:val="38"/>
        </w:numPr>
        <w:rPr>
          <w:rFonts w:ascii="宋体" w:hAnsi="宋体" w:eastAsia="宋体" w:cs="宋体"/>
          <w:b/>
          <w:bCs/>
          <w:sz w:val="24"/>
          <w:szCs w:val="24"/>
        </w:rPr>
      </w:pPr>
      <w:r>
        <w:rPr>
          <w:rFonts w:hint="eastAsia" w:ascii="宋体" w:hAnsi="宋体" w:eastAsia="宋体" w:cs="宋体"/>
          <w:b/>
          <w:bCs/>
          <w:sz w:val="24"/>
          <w:szCs w:val="24"/>
        </w:rPr>
        <w:t>规划环评依据</w:t>
      </w:r>
    </w:p>
    <w:bookmarkEnd w:id="45"/>
    <w:bookmarkEnd w:id="46"/>
    <w:p>
      <w:pPr>
        <w:numPr>
          <w:ilvl w:val="0"/>
          <w:numId w:val="39"/>
        </w:numPr>
        <w:tabs>
          <w:tab w:val="left" w:pos="840"/>
          <w:tab w:val="clear" w:pos="420"/>
        </w:tabs>
        <w:spacing w:line="520" w:lineRule="exact"/>
        <w:ind w:left="825" w:hanging="825"/>
        <w:rPr>
          <w:rFonts w:ascii="宋体" w:hAnsi="宋体" w:cs="宋体"/>
          <w:sz w:val="24"/>
        </w:rPr>
      </w:pPr>
      <w:r>
        <w:rPr>
          <w:rFonts w:hint="eastAsia" w:ascii="宋体" w:hAnsi="宋体" w:cs="宋体"/>
          <w:sz w:val="24"/>
        </w:rPr>
        <w:t>根据中华人民共和国国务院令第559号《规划环境影响评价条例》（2009年10月1日起实施）中的相关规定：</w:t>
      </w:r>
    </w:p>
    <w:p>
      <w:pPr>
        <w:numPr>
          <w:ilvl w:val="0"/>
          <w:numId w:val="40"/>
        </w:numPr>
        <w:spacing w:line="520" w:lineRule="exact"/>
        <w:rPr>
          <w:rFonts w:ascii="宋体" w:hAnsi="宋体" w:cs="宋体"/>
          <w:sz w:val="24"/>
        </w:rPr>
      </w:pPr>
      <w:r>
        <w:rPr>
          <w:rFonts w:hint="eastAsia" w:ascii="宋体" w:hAnsi="宋体" w:cs="宋体"/>
          <w:sz w:val="24"/>
        </w:rPr>
        <w:t xml:space="preserve">第二条国务院有关部门、设区的市级以上地方人民政府及其有关部门，对其组织编 </w:t>
      </w:r>
    </w:p>
    <w:p>
      <w:pPr>
        <w:spacing w:line="520" w:lineRule="exact"/>
        <w:ind w:left="840" w:leftChars="400"/>
        <w:rPr>
          <w:rFonts w:ascii="宋体" w:hAnsi="宋体" w:cs="宋体"/>
          <w:sz w:val="24"/>
        </w:rPr>
      </w:pPr>
      <w:r>
        <w:rPr>
          <w:rFonts w:hint="eastAsia" w:ascii="宋体" w:hAnsi="宋体" w:cs="宋体"/>
          <w:sz w:val="24"/>
        </w:rPr>
        <w:t>制的土地利用的有关规划和区域、流域、海域的建设、开发利用规划（以下称综合性规划），以及工业、农业、畜牧业、林业、能源、水利、交通、城市建设、旅游、自然资源开发的有关专项规划（以下称专项规划），应当进行环境影响评价；</w:t>
      </w:r>
    </w:p>
    <w:p>
      <w:pPr>
        <w:numPr>
          <w:ilvl w:val="0"/>
          <w:numId w:val="41"/>
        </w:numPr>
        <w:spacing w:line="520" w:lineRule="exact"/>
        <w:rPr>
          <w:rFonts w:ascii="宋体" w:hAnsi="宋体" w:cs="宋体"/>
          <w:sz w:val="24"/>
        </w:rPr>
      </w:pPr>
      <w:r>
        <w:rPr>
          <w:rFonts w:hint="eastAsia" w:ascii="宋体" w:hAnsi="宋体" w:cs="宋体"/>
          <w:sz w:val="24"/>
        </w:rPr>
        <w:t>第七条规划编制机关应当在规划编制过程中对规划组织进行环境影响评价；</w:t>
      </w:r>
    </w:p>
    <w:p>
      <w:pPr>
        <w:numPr>
          <w:ilvl w:val="0"/>
          <w:numId w:val="42"/>
        </w:numPr>
        <w:spacing w:line="520" w:lineRule="exact"/>
        <w:rPr>
          <w:rFonts w:ascii="宋体" w:hAnsi="宋体" w:cs="宋体"/>
          <w:sz w:val="24"/>
        </w:rPr>
      </w:pPr>
      <w:r>
        <w:rPr>
          <w:rFonts w:hint="eastAsia" w:ascii="宋体" w:hAnsi="宋体" w:cs="宋体"/>
          <w:sz w:val="24"/>
        </w:rPr>
        <w:t>第十四条对已经批准的规划在实施范围、适用期限、规模、结构和布局等方面进行</w:t>
      </w:r>
    </w:p>
    <w:p>
      <w:pPr>
        <w:spacing w:line="360" w:lineRule="auto"/>
        <w:ind w:left="840" w:leftChars="400"/>
        <w:rPr>
          <w:rFonts w:ascii="宋体" w:hAnsi="宋体" w:cs="宋体"/>
          <w:sz w:val="24"/>
        </w:rPr>
      </w:pPr>
      <w:r>
        <w:rPr>
          <w:rFonts w:hint="eastAsia" w:ascii="宋体" w:hAnsi="宋体" w:cs="宋体"/>
          <w:sz w:val="24"/>
        </w:rPr>
        <w:t>重大调整或者修订的，规划编制机关应当依照本条例的规定重新或者补充进行环境影响评价。</w:t>
      </w:r>
    </w:p>
    <w:p>
      <w:pPr>
        <w:numPr>
          <w:ilvl w:val="0"/>
          <w:numId w:val="38"/>
        </w:numPr>
        <w:spacing w:line="360" w:lineRule="auto"/>
        <w:rPr>
          <w:b/>
          <w:bCs/>
          <w:sz w:val="24"/>
          <w:szCs w:val="24"/>
        </w:rPr>
      </w:pPr>
      <w:r>
        <w:rPr>
          <w:rFonts w:hint="eastAsia"/>
          <w:b/>
          <w:bCs/>
          <w:sz w:val="24"/>
          <w:szCs w:val="24"/>
        </w:rPr>
        <w:t>规划环评程序</w:t>
      </w:r>
    </w:p>
    <w:p>
      <w:pPr>
        <w:numPr>
          <w:ilvl w:val="0"/>
          <w:numId w:val="43"/>
        </w:numPr>
        <w:tabs>
          <w:tab w:val="left" w:pos="840"/>
          <w:tab w:val="clear" w:pos="420"/>
        </w:tabs>
        <w:spacing w:line="520" w:lineRule="exact"/>
        <w:rPr>
          <w:rFonts w:ascii="宋体" w:hAnsi="宋体" w:cs="宋体"/>
          <w:sz w:val="24"/>
        </w:rPr>
      </w:pPr>
      <w:r>
        <w:rPr>
          <w:rFonts w:hint="eastAsia" w:ascii="宋体" w:hAnsi="宋体" w:cs="宋体"/>
          <w:sz w:val="24"/>
        </w:rPr>
        <w:t xml:space="preserve">在规划纲要编制阶段，通过对规划可能涉及内容的分析，收集与规划相关的法律、 </w:t>
      </w:r>
    </w:p>
    <w:p>
      <w:pPr>
        <w:tabs>
          <w:tab w:val="left" w:pos="840"/>
        </w:tabs>
        <w:spacing w:line="520" w:lineRule="exact"/>
        <w:ind w:left="718" w:leftChars="342"/>
        <w:rPr>
          <w:rFonts w:ascii="宋体" w:hAnsi="宋体" w:cs="宋体"/>
          <w:sz w:val="24"/>
        </w:rPr>
      </w:pPr>
      <w:r>
        <w:rPr>
          <w:rFonts w:hint="eastAsia" w:ascii="宋体" w:hAnsi="宋体" w:cs="宋体"/>
          <w:sz w:val="24"/>
        </w:rPr>
        <w:t>法规、环境政策和产业政策，对规划区域进行现场踏勘，收集有关基础数据，初步调查环境敏感区域的有关情况，识别规划实施的主要环境影响，分析提出规划实施的资源和环境制约因素，反馈给规划编制机关。同时确定规划环境影响评价方案；</w:t>
      </w:r>
    </w:p>
    <w:p>
      <w:pPr>
        <w:numPr>
          <w:ilvl w:val="0"/>
          <w:numId w:val="44"/>
        </w:numPr>
        <w:tabs>
          <w:tab w:val="clear" w:pos="420"/>
        </w:tabs>
        <w:spacing w:line="520" w:lineRule="exact"/>
        <w:rPr>
          <w:rFonts w:ascii="宋体" w:hAnsi="宋体" w:cs="宋体"/>
          <w:sz w:val="24"/>
        </w:rPr>
      </w:pPr>
      <w:r>
        <w:rPr>
          <w:rFonts w:hint="eastAsia" w:ascii="宋体" w:hAnsi="宋体" w:cs="宋体"/>
          <w:sz w:val="24"/>
        </w:rPr>
        <w:t xml:space="preserve">  在规划的研究阶段，评价可随着规划的不断深入，及时对不同规划方案实施的资源、 </w:t>
      </w:r>
    </w:p>
    <w:p>
      <w:pPr>
        <w:spacing w:line="520" w:lineRule="exact"/>
        <w:ind w:left="650" w:leftChars="303" w:hanging="14" w:hangingChars="6"/>
        <w:rPr>
          <w:rFonts w:ascii="宋体" w:hAnsi="宋体" w:cs="宋体"/>
          <w:sz w:val="24"/>
        </w:rPr>
      </w:pPr>
      <w:r>
        <w:rPr>
          <w:rFonts w:hint="eastAsia" w:ascii="宋体" w:hAnsi="宋体" w:cs="宋体"/>
          <w:sz w:val="24"/>
        </w:rPr>
        <w:t>环境、生态影响进行分析、预测和评估，综合论证不同规划方案的合理性，提出优化调整建议，反馈给规划编制机关，供其在不同规划方案的比选中参考与利用；</w:t>
      </w:r>
    </w:p>
    <w:p>
      <w:pPr>
        <w:numPr>
          <w:ilvl w:val="0"/>
          <w:numId w:val="45"/>
        </w:numPr>
        <w:tabs>
          <w:tab w:val="clear" w:pos="420"/>
        </w:tabs>
        <w:spacing w:line="520" w:lineRule="exact"/>
        <w:rPr>
          <w:rFonts w:ascii="宋体" w:hAnsi="宋体" w:cs="宋体"/>
          <w:sz w:val="24"/>
        </w:rPr>
      </w:pPr>
      <w:r>
        <w:rPr>
          <w:rFonts w:hint="eastAsia" w:ascii="宋体" w:hAnsi="宋体" w:cs="宋体"/>
          <w:sz w:val="24"/>
        </w:rPr>
        <w:t xml:space="preserve">  在规划的编制阶段：a）应针对环境影响评价推荐的环境可行的规划方案，从战略和</w:t>
      </w:r>
    </w:p>
    <w:p>
      <w:pPr>
        <w:spacing w:line="520" w:lineRule="exact"/>
        <w:ind w:left="650" w:leftChars="303" w:hanging="14" w:hangingChars="6"/>
        <w:rPr>
          <w:rFonts w:ascii="宋体" w:hAnsi="宋体" w:cs="宋体"/>
          <w:sz w:val="24"/>
        </w:rPr>
      </w:pPr>
      <w:r>
        <w:rPr>
          <w:rFonts w:hint="eastAsia" w:ascii="宋体" w:hAnsi="宋体" w:cs="宋体"/>
          <w:sz w:val="24"/>
        </w:rPr>
        <w:t>政策层面提出环境影响减缓措施。如果规划未采纳环境影响评价推荐的方案，还应重点对规划方案提出必要的优化调整建议。编制环境影响跟踪评价方案，提出环境管理要求，反馈给规划编制机关。b）如果规划选择的方案资源环境无法承载、可能造成重大不良环境影响且无法提出切实可行的预防或减轻对策和措施，以及对可能产生的不良环境影响的程度或范围尚无法做出科学判断时，应提出放弃规划方案的建议，反馈给规划编制机关；</w:t>
      </w:r>
    </w:p>
    <w:p>
      <w:pPr>
        <w:numPr>
          <w:ilvl w:val="0"/>
          <w:numId w:val="46"/>
        </w:numPr>
        <w:tabs>
          <w:tab w:val="left" w:pos="640"/>
          <w:tab w:val="clear" w:pos="420"/>
        </w:tabs>
        <w:spacing w:line="520" w:lineRule="exact"/>
        <w:rPr>
          <w:sz w:val="24"/>
          <w:szCs w:val="24"/>
        </w:rPr>
      </w:pPr>
      <w:r>
        <w:rPr>
          <w:rFonts w:hint="eastAsia" w:ascii="宋体" w:hAnsi="宋体" w:cs="宋体"/>
          <w:sz w:val="24"/>
        </w:rPr>
        <w:t xml:space="preserve">在规划上报审批前，应完成规划环境影响报告书（规划环境影响篇章或说明）的编写 </w:t>
      </w:r>
    </w:p>
    <w:p>
      <w:pPr>
        <w:tabs>
          <w:tab w:val="left" w:pos="640"/>
        </w:tabs>
        <w:spacing w:line="520" w:lineRule="exact"/>
        <w:ind w:left="0" w:leftChars="0" w:firstLine="638" w:firstLineChars="266"/>
        <w:rPr>
          <w:sz w:val="24"/>
          <w:szCs w:val="24"/>
        </w:rPr>
      </w:pPr>
      <w:r>
        <w:rPr>
          <w:rFonts w:hint="eastAsia" w:ascii="宋体" w:hAnsi="宋体" w:cs="宋体"/>
          <w:sz w:val="24"/>
        </w:rPr>
        <w:t>与审查，并提交给规划编制机关。</w:t>
      </w:r>
    </w:p>
    <w:p>
      <w:pPr>
        <w:numPr>
          <w:ilvl w:val="0"/>
          <w:numId w:val="47"/>
        </w:numPr>
        <w:spacing w:line="360" w:lineRule="auto"/>
        <w:rPr>
          <w:b/>
          <w:bCs/>
          <w:sz w:val="24"/>
          <w:szCs w:val="24"/>
        </w:rPr>
      </w:pPr>
      <w:r>
        <w:rPr>
          <w:rFonts w:hint="eastAsia"/>
          <w:b/>
          <w:bCs/>
          <w:sz w:val="24"/>
          <w:szCs w:val="24"/>
        </w:rPr>
        <w:t>工作内容</w:t>
      </w:r>
    </w:p>
    <w:p>
      <w:pPr>
        <w:numPr>
          <w:ilvl w:val="0"/>
          <w:numId w:val="48"/>
        </w:numPr>
        <w:tabs>
          <w:tab w:val="clear" w:pos="420"/>
        </w:tabs>
        <w:spacing w:line="520" w:lineRule="exact"/>
        <w:ind w:left="640" w:leftChars="0" w:hanging="645" w:firstLineChars="0"/>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本次规划范围依据省人民政府批复的湖北阳新经济开发区核准总面积1867.99公</w:t>
      </w:r>
      <w:r>
        <w:rPr>
          <w:rFonts w:hint="eastAsia" w:ascii="宋体" w:hAnsi="宋体" w:cs="宋体"/>
          <w:sz w:val="24"/>
          <w:lang w:val="en-US" w:eastAsia="zh-CN"/>
        </w:rPr>
        <w:t xml:space="preserve">    </w:t>
      </w:r>
      <w:r>
        <w:rPr>
          <w:rFonts w:hint="eastAsia" w:ascii="宋体" w:hAnsi="宋体" w:cs="宋体"/>
          <w:sz w:val="24"/>
        </w:rPr>
        <w:t>顷，由五个区块组成，各区块具体范围：区块一位于韦源口镇，规划范围东至工纵二路、工纵三路，南至工横五路，西至老河金省道，北至28号路以北300米，用地面积为836.09公顷，主导产业为新材料(黑色金属冶炼及压延加工、有色金属冶炼及压延加工、粉末冶金材料)、现代物流;培育(辅助)产业为固体废物(含危险废物)治理、装备制造、铬铁矿配置、非金属矿物制品和化工(磷化工、空分)等产业；区块二位于阳新县中心城区，规划范围东至鸿骏路，南至综合大道、阳新大道、站前路，西至泉池小学，北至滑石口水库，用地面积为780.45公顷，主导产业为装备制造、服装鞋业;培育(辅助)产业为生物医药、电子信息、食品加工；区块三、四、五均位于富池镇。其中，区块三规划范围东至长江一公里控制线，南至203省道，西至华新绿色建材园，北至沙村猫儿山，用地面积为149.08公顷。区块四规划范围东至长江一公里控制线，南至蜗石水泥，西至郝矶村曹家湾，北至郝矶村徐家湾，用地面积为78.76公顷。区块五规划范围东至长江一公里控制线，南至猫儿头山，西至甘宁公园，北至富丰路，用地面积为23.61公顷。主导产业为生物医药;培育(辅助)产业为新型建材、循环经济(固废循环、清洁能源)；</w:t>
      </w:r>
    </w:p>
    <w:p>
      <w:pPr>
        <w:numPr>
          <w:ilvl w:val="0"/>
          <w:numId w:val="49"/>
        </w:numPr>
        <w:tabs>
          <w:tab w:val="left" w:pos="640"/>
          <w:tab w:val="clear" w:pos="420"/>
        </w:tabs>
        <w:spacing w:line="520" w:lineRule="exact"/>
        <w:rPr>
          <w:rFonts w:ascii="宋体" w:hAnsi="宋体" w:cs="宋体"/>
          <w:sz w:val="24"/>
        </w:rPr>
      </w:pPr>
      <w:r>
        <w:rPr>
          <w:rFonts w:hint="eastAsia" w:ascii="宋体" w:hAnsi="宋体" w:cs="宋体"/>
          <w:sz w:val="24"/>
        </w:rPr>
        <w:t>目前对湖北阳新经济开发区总体规划（2019-2030）进行调整修编工作，需要报批环</w:t>
      </w:r>
    </w:p>
    <w:p>
      <w:pPr>
        <w:tabs>
          <w:tab w:val="left" w:pos="640"/>
        </w:tabs>
        <w:spacing w:line="520" w:lineRule="exact"/>
        <w:ind w:left="714" w:leftChars="304" w:hanging="76" w:hangingChars="32"/>
        <w:rPr>
          <w:rFonts w:hint="eastAsia" w:ascii="宋体" w:hAnsi="宋体" w:cs="宋体"/>
          <w:sz w:val="24"/>
        </w:rPr>
      </w:pPr>
      <w:r>
        <w:rPr>
          <w:rFonts w:hint="eastAsia" w:ascii="宋体" w:hAnsi="宋体" w:cs="宋体"/>
          <w:sz w:val="24"/>
        </w:rPr>
        <w:t>境影响评价文件，根据《规划环境影响评价技术导则 总纲》及《规划环境影响评价</w:t>
      </w:r>
    </w:p>
    <w:p>
      <w:pPr>
        <w:tabs>
          <w:tab w:val="left" w:pos="640"/>
        </w:tabs>
        <w:spacing w:line="520" w:lineRule="exact"/>
        <w:ind w:left="714" w:leftChars="304" w:hanging="76" w:hangingChars="32"/>
        <w:rPr>
          <w:rFonts w:hint="eastAsia" w:ascii="宋体" w:hAnsi="宋体" w:cs="宋体"/>
          <w:sz w:val="24"/>
        </w:rPr>
      </w:pPr>
      <w:r>
        <w:rPr>
          <w:rFonts w:hint="eastAsia" w:ascii="宋体" w:hAnsi="宋体" w:cs="宋体"/>
          <w:sz w:val="24"/>
        </w:rPr>
        <w:t>条例》的要求，需进行园区环境质量现状检测、现有工业企业现状调查、环评报告编</w:t>
      </w:r>
    </w:p>
    <w:p>
      <w:pPr>
        <w:tabs>
          <w:tab w:val="left" w:pos="640"/>
        </w:tabs>
        <w:spacing w:line="520" w:lineRule="exact"/>
        <w:ind w:left="714" w:leftChars="304" w:hanging="76" w:hangingChars="32"/>
        <w:rPr>
          <w:rFonts w:ascii="宋体" w:hAnsi="宋体" w:cs="宋体"/>
          <w:sz w:val="24"/>
        </w:rPr>
      </w:pPr>
      <w:r>
        <w:rPr>
          <w:rFonts w:hint="eastAsia" w:ascii="宋体" w:hAnsi="宋体" w:cs="宋体"/>
          <w:sz w:val="24"/>
        </w:rPr>
        <w:t>制等工作。</w:t>
      </w:r>
    </w:p>
    <w:p>
      <w:pPr>
        <w:numPr>
          <w:ilvl w:val="0"/>
          <w:numId w:val="50"/>
        </w:numPr>
        <w:tabs>
          <w:tab w:val="left" w:pos="640"/>
        </w:tabs>
        <w:spacing w:line="520" w:lineRule="exact"/>
        <w:rPr>
          <w:rFonts w:ascii="宋体" w:hAnsi="宋体" w:cs="宋体"/>
          <w:b/>
          <w:bCs/>
          <w:sz w:val="24"/>
        </w:rPr>
      </w:pPr>
      <w:r>
        <w:rPr>
          <w:rFonts w:hint="eastAsia" w:ascii="宋体" w:hAnsi="宋体" w:cs="宋体"/>
          <w:b/>
          <w:bCs/>
          <w:sz w:val="24"/>
        </w:rPr>
        <w:t>项目拟派人员要求</w:t>
      </w:r>
    </w:p>
    <w:p>
      <w:pPr>
        <w:numPr>
          <w:ilvl w:val="0"/>
          <w:numId w:val="51"/>
        </w:numPr>
        <w:tabs>
          <w:tab w:val="left" w:pos="640"/>
        </w:tabs>
        <w:spacing w:line="520" w:lineRule="exact"/>
        <w:ind w:left="425" w:leftChars="0" w:hanging="425" w:firstLineChars="0"/>
        <w:rPr>
          <w:rFonts w:ascii="宋体" w:hAnsi="宋体" w:cs="宋体"/>
          <w:sz w:val="24"/>
        </w:rPr>
      </w:pPr>
      <w:r>
        <w:rPr>
          <w:rFonts w:hint="eastAsia" w:ascii="宋体" w:hAnsi="宋体" w:eastAsia="宋体" w:cs="宋体"/>
          <w:bCs/>
          <w:color w:val="000000"/>
          <w:sz w:val="24"/>
          <w:szCs w:val="24"/>
          <w:lang w:val="en-US" w:eastAsia="zh-CN"/>
        </w:rPr>
        <w:t xml:space="preserve">  </w:t>
      </w:r>
      <w:r>
        <w:rPr>
          <w:rFonts w:hint="eastAsia" w:ascii="宋体" w:hAnsi="宋体" w:eastAsia="宋体" w:cs="宋体"/>
          <w:bCs/>
          <w:color w:val="000000"/>
          <w:sz w:val="24"/>
          <w:szCs w:val="24"/>
        </w:rPr>
        <w:t>不允许成交后更换项目负责人及团队人员，否则招标人有权终止合同，并由中标人承</w:t>
      </w:r>
    </w:p>
    <w:p>
      <w:pPr>
        <w:tabs>
          <w:tab w:val="left" w:pos="640"/>
        </w:tabs>
        <w:spacing w:line="520" w:lineRule="exact"/>
        <w:ind w:left="0" w:leftChars="0" w:firstLine="638" w:firstLineChars="266"/>
        <w:rPr>
          <w:rFonts w:ascii="宋体" w:hAnsi="宋体" w:eastAsia="宋体" w:cs="宋体"/>
          <w:bCs/>
          <w:color w:val="000000"/>
          <w:sz w:val="24"/>
          <w:szCs w:val="24"/>
        </w:rPr>
      </w:pPr>
      <w:r>
        <w:rPr>
          <w:rFonts w:hint="eastAsia" w:ascii="宋体" w:hAnsi="宋体" w:eastAsia="宋体" w:cs="宋体"/>
          <w:bCs/>
          <w:color w:val="000000"/>
          <w:sz w:val="24"/>
          <w:szCs w:val="24"/>
        </w:rPr>
        <w:t>担由此造成的全部损失，如因特殊原因需要更换的，必须经过招标人同意；</w:t>
      </w:r>
    </w:p>
    <w:p>
      <w:pPr>
        <w:tabs>
          <w:tab w:val="left" w:pos="840"/>
        </w:tabs>
        <w:spacing w:line="520" w:lineRule="exact"/>
        <w:rPr>
          <w:b/>
          <w:bCs/>
          <w:sz w:val="24"/>
          <w:szCs w:val="24"/>
        </w:rPr>
      </w:pPr>
      <w:r>
        <w:rPr>
          <w:rFonts w:hint="eastAsia" w:ascii="宋体" w:hAnsi="宋体" w:eastAsia="宋体" w:cs="宋体"/>
          <w:bCs/>
          <w:sz w:val="24"/>
          <w:szCs w:val="24"/>
        </w:rPr>
        <w:t xml:space="preserve">4.2 </w:t>
      </w:r>
      <w:r>
        <w:rPr>
          <w:rFonts w:hint="eastAsia" w:ascii="宋体" w:hAnsi="宋体" w:eastAsia="宋体" w:cs="宋体"/>
          <w:bCs/>
          <w:sz w:val="24"/>
          <w:szCs w:val="24"/>
          <w:lang w:val="en-US" w:eastAsia="zh-CN"/>
        </w:rPr>
        <w:t xml:space="preserve">  </w:t>
      </w:r>
      <w:r>
        <w:rPr>
          <w:rFonts w:hint="eastAsia" w:hAnsi="宋体"/>
          <w:bCs/>
          <w:sz w:val="24"/>
          <w:szCs w:val="24"/>
        </w:rPr>
        <w:t>项目服务团队保证确保现场调研2周以上时间；</w:t>
      </w:r>
    </w:p>
    <w:p>
      <w:pPr>
        <w:tabs>
          <w:tab w:val="left" w:pos="640"/>
          <w:tab w:val="left" w:pos="1050"/>
          <w:tab w:val="left" w:pos="1470"/>
          <w:tab w:val="left" w:pos="1680"/>
        </w:tabs>
        <w:spacing w:line="520" w:lineRule="exact"/>
        <w:rPr>
          <w:rFonts w:ascii="宋体" w:hAnsi="宋体" w:cs="宋体"/>
          <w:sz w:val="24"/>
        </w:rPr>
      </w:pPr>
      <w:r>
        <w:rPr>
          <w:rFonts w:hint="eastAsia" w:ascii="宋体" w:hAnsi="宋体" w:cs="宋体"/>
          <w:sz w:val="24"/>
        </w:rPr>
        <w:t xml:space="preserve">4.3 </w:t>
      </w:r>
      <w:r>
        <w:rPr>
          <w:rFonts w:hint="eastAsia" w:ascii="宋体" w:hAnsi="宋体" w:cs="宋体"/>
          <w:sz w:val="24"/>
          <w:lang w:val="en-US" w:eastAsia="zh-CN"/>
        </w:rPr>
        <w:t xml:space="preserve">  </w:t>
      </w:r>
      <w:r>
        <w:rPr>
          <w:rFonts w:hint="eastAsia" w:ascii="宋体" w:hAnsi="宋体" w:cs="宋体"/>
          <w:sz w:val="24"/>
        </w:rPr>
        <w:t>对招标人召开的本项目相关会议必须24小时内到达指定地点。</w:t>
      </w:r>
    </w:p>
    <w:bookmarkEnd w:id="47"/>
    <w:bookmarkEnd w:id="48"/>
    <w:p>
      <w:pPr>
        <w:pStyle w:val="3"/>
        <w:numPr>
          <w:ilvl w:val="0"/>
          <w:numId w:val="37"/>
        </w:numPr>
        <w:spacing w:before="0" w:after="0" w:line="360" w:lineRule="auto"/>
        <w:ind w:left="616" w:hanging="616"/>
        <w:jc w:val="left"/>
        <w:rPr>
          <w:rFonts w:cs="Times New Roman" w:asciiTheme="majorEastAsia" w:hAnsiTheme="majorEastAsia"/>
          <w:bCs w:val="0"/>
          <w:sz w:val="30"/>
          <w:szCs w:val="30"/>
          <w:lang w:val="zh-CN"/>
        </w:rPr>
      </w:pPr>
      <w:bookmarkStart w:id="53" w:name="_Toc48230901"/>
      <w:r>
        <w:rPr>
          <w:rFonts w:hint="eastAsia" w:cs="Times New Roman" w:asciiTheme="majorEastAsia" w:hAnsiTheme="majorEastAsia"/>
          <w:bCs w:val="0"/>
          <w:sz w:val="30"/>
          <w:szCs w:val="30"/>
          <w:lang w:val="zh-CN"/>
        </w:rPr>
        <w:t>商务要求</w:t>
      </w:r>
      <w:bookmarkEnd w:id="53"/>
    </w:p>
    <w:p>
      <w:pPr>
        <w:spacing w:line="360" w:lineRule="auto"/>
        <w:ind w:left="710" w:leftChars="228" w:hanging="232" w:hangingChars="97"/>
        <w:rPr>
          <w:rFonts w:ascii="宋体" w:hAnsi="宋体" w:eastAsia="宋体" w:cs="仿宋_GB2312"/>
          <w:sz w:val="24"/>
          <w:szCs w:val="24"/>
        </w:rPr>
      </w:pPr>
      <w:r>
        <w:rPr>
          <w:rFonts w:hint="eastAsia" w:ascii="宋体" w:hAnsi="宋体" w:eastAsia="宋体" w:cs="宋体"/>
          <w:color w:val="000000"/>
          <w:sz w:val="24"/>
          <w:szCs w:val="24"/>
        </w:rPr>
        <w:t>说明：</w:t>
      </w:r>
      <w:r>
        <w:rPr>
          <w:rFonts w:hint="eastAsia" w:ascii="宋体" w:hAnsi="宋体" w:eastAsia="宋体" w:cs="仿宋_GB2312"/>
          <w:sz w:val="24"/>
          <w:szCs w:val="24"/>
        </w:rPr>
        <w:t>投标人在投标文件《商务要求响应、偏离说明表》中应对以下逐条商务要求进</w:t>
      </w:r>
    </w:p>
    <w:p>
      <w:pPr>
        <w:spacing w:line="360" w:lineRule="auto"/>
        <w:rPr>
          <w:rFonts w:ascii="宋体" w:hAnsi="宋体" w:eastAsia="宋体" w:cs="宋体"/>
          <w:color w:val="000000"/>
          <w:sz w:val="24"/>
          <w:szCs w:val="24"/>
        </w:rPr>
      </w:pPr>
      <w:r>
        <w:rPr>
          <w:rFonts w:hint="eastAsia" w:ascii="宋体" w:hAnsi="宋体" w:eastAsia="宋体" w:cs="仿宋_GB2312"/>
          <w:sz w:val="24"/>
          <w:szCs w:val="24"/>
        </w:rPr>
        <w:t>行响应描述或偏离说明。</w:t>
      </w:r>
      <w:r>
        <w:rPr>
          <w:rFonts w:hint="eastAsia" w:ascii="宋体" w:hAnsi="宋体" w:eastAsia="宋体" w:cs="宋体"/>
          <w:color w:val="000000"/>
          <w:sz w:val="24"/>
          <w:szCs w:val="24"/>
        </w:rPr>
        <w:t>不满足以下要求的，其投标按照无效投标处理。</w:t>
      </w:r>
    </w:p>
    <w:p>
      <w:pPr>
        <w:numPr>
          <w:ilvl w:val="0"/>
          <w:numId w:val="52"/>
        </w:numPr>
        <w:spacing w:line="360" w:lineRule="auto"/>
        <w:ind w:left="713" w:hanging="712" w:hangingChars="297"/>
        <w:rPr>
          <w:rFonts w:ascii="宋体" w:hAnsi="宋体" w:eastAsia="宋体" w:cs="宋体"/>
          <w:bCs/>
          <w:color w:val="000000"/>
          <w:sz w:val="24"/>
          <w:szCs w:val="24"/>
        </w:rPr>
      </w:pPr>
      <w:r>
        <w:rPr>
          <w:rFonts w:hint="eastAsia" w:ascii="宋体" w:hAnsi="宋体" w:cs="宋体"/>
          <w:sz w:val="24"/>
        </w:rPr>
        <w:t>环评成果完成时间</w:t>
      </w:r>
      <w:r>
        <w:rPr>
          <w:rFonts w:hint="eastAsia" w:ascii="宋体" w:hAnsi="宋体" w:eastAsia="宋体" w:cs="宋体"/>
          <w:bCs/>
          <w:color w:val="000000"/>
          <w:sz w:val="24"/>
          <w:szCs w:val="24"/>
        </w:rPr>
        <w:t>：</w:t>
      </w:r>
    </w:p>
    <w:p>
      <w:pPr>
        <w:numPr>
          <w:ilvl w:val="0"/>
          <w:numId w:val="0"/>
        </w:numPr>
        <w:spacing w:line="360" w:lineRule="auto"/>
        <w:ind w:leftChars="-297" w:firstLine="960" w:firstLineChars="400"/>
        <w:rPr>
          <w:rFonts w:ascii="宋体" w:hAnsi="宋体" w:eastAsia="宋体" w:cs="宋体"/>
          <w:bCs/>
          <w:color w:val="000000"/>
          <w:sz w:val="24"/>
          <w:szCs w:val="24"/>
        </w:rPr>
      </w:pPr>
      <w:r>
        <w:rPr>
          <w:rFonts w:hint="eastAsia" w:ascii="宋体" w:hAnsi="宋体" w:eastAsia="宋体" w:cs="宋体"/>
          <w:bCs/>
          <w:color w:val="000000"/>
          <w:sz w:val="24"/>
          <w:szCs w:val="24"/>
        </w:rPr>
        <w:t xml:space="preserve">合同签订后60日内完成。      </w:t>
      </w:r>
    </w:p>
    <w:p>
      <w:pPr>
        <w:numPr>
          <w:ilvl w:val="0"/>
          <w:numId w:val="0"/>
        </w:numPr>
        <w:spacing w:line="360" w:lineRule="auto"/>
        <w:rPr>
          <w:rFonts w:hint="eastAsia" w:ascii="宋体" w:hAnsi="宋体" w:eastAsia="宋体" w:cs="宋体"/>
          <w:bCs/>
          <w:color w:val="000000"/>
          <w:sz w:val="24"/>
          <w:szCs w:val="24"/>
        </w:rPr>
      </w:pPr>
      <w:r>
        <w:rPr>
          <w:rFonts w:hint="eastAsia" w:ascii="宋体" w:hAnsi="宋体" w:eastAsia="宋体" w:cs="宋体"/>
          <w:bCs/>
          <w:color w:val="000000"/>
          <w:sz w:val="24"/>
          <w:szCs w:val="24"/>
        </w:rPr>
        <w:t>2、付款方式：</w:t>
      </w:r>
    </w:p>
    <w:p>
      <w:pPr>
        <w:numPr>
          <w:ilvl w:val="0"/>
          <w:numId w:val="53"/>
        </w:numPr>
        <w:spacing w:line="360" w:lineRule="auto"/>
        <w:ind w:left="425" w:leftChars="0" w:hanging="425"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在合同签订后十五日内，甲方向乙方支付合同金额50%的预付款；</w:t>
      </w:r>
    </w:p>
    <w:p>
      <w:pPr>
        <w:numPr>
          <w:ilvl w:val="0"/>
          <w:numId w:val="54"/>
        </w:numPr>
        <w:spacing w:line="360" w:lineRule="auto"/>
        <w:ind w:left="425" w:leftChars="0" w:hanging="425"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在完成《湖北阳新经济开发区总体规划（2019-2030年）（调整）》（送审稿）并提交环境保护主管部门后七个工作日内，甲方支付乙方该项目第二笔环评经费，合同金额30%；</w:t>
      </w:r>
    </w:p>
    <w:p>
      <w:pPr>
        <w:numPr>
          <w:ilvl w:val="0"/>
          <w:numId w:val="55"/>
        </w:numPr>
        <w:spacing w:line="360" w:lineRule="auto"/>
        <w:ind w:left="425" w:leftChars="0" w:hanging="425" w:firstLineChars="0"/>
        <w:rPr>
          <w:rFonts w:hint="eastAsia" w:ascii="宋体" w:hAnsi="宋体" w:eastAsia="宋体" w:cs="宋体"/>
          <w:bCs/>
          <w:color w:val="000000"/>
          <w:sz w:val="24"/>
          <w:szCs w:val="24"/>
        </w:rPr>
      </w:pPr>
      <w:r>
        <w:rPr>
          <w:rFonts w:hint="eastAsia" w:ascii="宋体" w:hAnsi="宋体" w:eastAsia="宋体" w:cs="宋体"/>
          <w:bCs/>
          <w:color w:val="000000"/>
          <w:sz w:val="24"/>
          <w:szCs w:val="24"/>
        </w:rPr>
        <w:t>在完成《湖北阳新经济开发区总体规划（2019-2030年）（调整）》（报批稿）并提交环境保护主管部门后七个工作日内，甲方支付乙方该项目第三笔环评经费，合同金额20%。</w:t>
      </w:r>
    </w:p>
    <w:p>
      <w:pPr>
        <w:spacing w:line="360" w:lineRule="auto"/>
        <w:ind w:left="1670" w:hanging="1670" w:hangingChars="696"/>
        <w:rPr>
          <w:rFonts w:hint="eastAsia" w:ascii="宋体" w:hAnsi="宋体" w:eastAsia="宋体" w:cs="宋体"/>
          <w:bCs/>
          <w:color w:val="000000"/>
          <w:sz w:val="24"/>
          <w:szCs w:val="24"/>
        </w:rPr>
      </w:pPr>
      <w:r>
        <w:rPr>
          <w:rFonts w:hint="eastAsia" w:ascii="宋体" w:hAnsi="宋体" w:eastAsia="宋体" w:cs="宋体"/>
          <w:bCs/>
          <w:color w:val="000000"/>
          <w:sz w:val="24"/>
          <w:szCs w:val="24"/>
        </w:rPr>
        <w:t>3、其他要求：</w:t>
      </w:r>
    </w:p>
    <w:p>
      <w:pPr>
        <w:spacing w:line="360" w:lineRule="auto"/>
        <w:ind w:left="1668" w:leftChars="228" w:hanging="1190" w:hangingChars="496"/>
        <w:rPr>
          <w:rFonts w:hAnsi="宋体"/>
          <w:bCs/>
          <w:sz w:val="24"/>
          <w:szCs w:val="24"/>
        </w:rPr>
      </w:pPr>
      <w:r>
        <w:rPr>
          <w:rFonts w:ascii="Calibri" w:hAnsi="宋体" w:eastAsia="宋体" w:cs="Times New Roman"/>
          <w:bCs/>
          <w:sz w:val="24"/>
          <w:szCs w:val="24"/>
        </w:rPr>
        <w:t>本项目采购预算控制总金额为</w:t>
      </w:r>
      <w:r>
        <w:rPr>
          <w:rFonts w:hint="eastAsia" w:ascii="Calibri" w:hAnsi="Calibri" w:eastAsia="宋体" w:cs="Times New Roman"/>
          <w:bCs/>
          <w:sz w:val="24"/>
          <w:szCs w:val="24"/>
          <w:lang w:eastAsia="zh-CN"/>
        </w:rPr>
        <w:t>170</w:t>
      </w:r>
      <w:r>
        <w:rPr>
          <w:rFonts w:ascii="Calibri" w:hAnsi="宋体" w:eastAsia="宋体" w:cs="Times New Roman"/>
          <w:bCs/>
          <w:sz w:val="24"/>
          <w:szCs w:val="24"/>
        </w:rPr>
        <w:t>万元</w:t>
      </w:r>
      <w:r>
        <w:rPr>
          <w:rFonts w:hint="eastAsia" w:hAnsi="宋体"/>
          <w:bCs/>
          <w:sz w:val="24"/>
          <w:szCs w:val="24"/>
        </w:rPr>
        <w:t>，</w:t>
      </w:r>
      <w:r>
        <w:rPr>
          <w:rFonts w:ascii="Calibri" w:hAnsi="宋体" w:eastAsia="宋体" w:cs="Times New Roman"/>
          <w:bCs/>
          <w:sz w:val="24"/>
          <w:szCs w:val="24"/>
        </w:rPr>
        <w:t>超出预算控制金额将导致其报价无效</w:t>
      </w:r>
      <w:r>
        <w:rPr>
          <w:rFonts w:hint="eastAsia" w:hAnsi="宋体" w:eastAsia="宋体"/>
          <w:bCs/>
          <w:sz w:val="24"/>
          <w:szCs w:val="24"/>
          <w:lang w:eastAsia="zh-CN"/>
        </w:rPr>
        <w:t>。</w:t>
      </w:r>
      <w:r>
        <w:rPr>
          <w:rFonts w:hint="eastAsia" w:hAnsi="宋体"/>
          <w:bCs/>
          <w:sz w:val="24"/>
          <w:szCs w:val="24"/>
        </w:rPr>
        <w:t xml:space="preserve">  </w:t>
      </w:r>
    </w:p>
    <w:p>
      <w:pPr>
        <w:spacing w:line="360" w:lineRule="auto"/>
        <w:ind w:left="716" w:hanging="712" w:hangingChars="297"/>
        <w:rPr>
          <w:rFonts w:ascii="宋体" w:hAnsi="宋体" w:eastAsia="宋体" w:cs="宋体"/>
          <w:b/>
          <w:color w:val="000000"/>
          <w:sz w:val="24"/>
          <w:szCs w:val="24"/>
        </w:rPr>
      </w:pPr>
    </w:p>
    <w:p>
      <w:r>
        <w:br w:type="page"/>
      </w:r>
    </w:p>
    <w:p>
      <w:pPr>
        <w:pStyle w:val="2"/>
        <w:numPr>
          <w:ilvl w:val="0"/>
          <w:numId w:val="1"/>
        </w:numPr>
        <w:jc w:val="center"/>
        <w:rPr>
          <w:rFonts w:ascii="黑体" w:hAnsi="黑体" w:eastAsia="黑体"/>
        </w:rPr>
      </w:pPr>
      <w:bookmarkStart w:id="54" w:name="_Toc48230902"/>
      <w:r>
        <w:rPr>
          <w:rFonts w:hint="eastAsia" w:ascii="黑体" w:hAnsi="黑体" w:eastAsia="黑体"/>
        </w:rPr>
        <w:t>资格审查方法及标准</w:t>
      </w:r>
      <w:bookmarkEnd w:id="54"/>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根据《政府采购法》、《政府采购法实施条例》、《政府采购货物和服务招标投标管理办法》等相关法律法规确定以下资格审查方法及标准。</w:t>
      </w:r>
    </w:p>
    <w:p>
      <w:pPr>
        <w:pStyle w:val="3"/>
        <w:numPr>
          <w:ilvl w:val="0"/>
          <w:numId w:val="56"/>
        </w:numPr>
        <w:spacing w:before="0" w:after="0" w:line="360" w:lineRule="auto"/>
        <w:ind w:left="616" w:hanging="616"/>
        <w:jc w:val="left"/>
        <w:rPr>
          <w:rFonts w:cs="Times New Roman" w:asciiTheme="majorEastAsia" w:hAnsiTheme="majorEastAsia"/>
          <w:bCs w:val="0"/>
          <w:sz w:val="30"/>
          <w:szCs w:val="30"/>
          <w:lang w:val="zh-CN"/>
        </w:rPr>
      </w:pPr>
      <w:bookmarkStart w:id="55" w:name="_Toc48230903"/>
      <w:bookmarkStart w:id="56" w:name="_Toc494561958"/>
      <w:r>
        <w:rPr>
          <w:rFonts w:hint="eastAsia" w:cs="Times New Roman" w:asciiTheme="majorEastAsia" w:hAnsiTheme="majorEastAsia"/>
          <w:bCs w:val="0"/>
          <w:sz w:val="30"/>
          <w:szCs w:val="30"/>
          <w:lang w:val="zh-CN"/>
        </w:rPr>
        <w:t>资格审查方法</w:t>
      </w:r>
      <w:bookmarkEnd w:id="55"/>
      <w:bookmarkEnd w:id="56"/>
    </w:p>
    <w:p>
      <w:pPr>
        <w:spacing w:line="360" w:lineRule="auto"/>
        <w:ind w:firstLine="420"/>
        <w:rPr>
          <w:rFonts w:ascii="宋体" w:hAnsi="宋体" w:eastAsia="宋体" w:cs="Times New Roman"/>
          <w:bCs/>
          <w:color w:val="0D0D0D"/>
          <w:sz w:val="24"/>
          <w:szCs w:val="20"/>
          <w:lang w:val="zh-CN"/>
        </w:rPr>
      </w:pPr>
      <w:r>
        <w:rPr>
          <w:rFonts w:hint="eastAsia" w:ascii="宋体" w:hAnsi="宋体" w:eastAsia="宋体" w:cs="Times New Roman"/>
          <w:bCs/>
          <w:color w:val="0D0D0D"/>
          <w:sz w:val="24"/>
          <w:szCs w:val="20"/>
          <w:lang w:val="zh-CN"/>
        </w:rPr>
        <w:t>公开招标采购项目开</w:t>
      </w:r>
      <w:r>
        <w:rPr>
          <w:rFonts w:hint="eastAsia" w:ascii="宋体" w:hAnsi="宋体" w:eastAsia="宋体" w:cs="Times New Roman"/>
          <w:bCs/>
          <w:sz w:val="24"/>
          <w:szCs w:val="20"/>
          <w:lang w:val="zh-CN"/>
        </w:rPr>
        <w:t>标结束后，</w:t>
      </w:r>
      <w:r>
        <w:rPr>
          <w:rFonts w:hint="eastAsia" w:ascii="宋体" w:hAnsi="宋体" w:eastAsia="宋体" w:cs="Times New Roman"/>
          <w:bCs/>
          <w:color w:val="FF0000"/>
          <w:sz w:val="24"/>
          <w:szCs w:val="20"/>
          <w:lang w:val="zh-CN"/>
        </w:rPr>
        <w:t>采购人、采购代理机构</w:t>
      </w:r>
      <w:r>
        <w:rPr>
          <w:rFonts w:hint="eastAsia" w:ascii="宋体" w:hAnsi="宋体" w:eastAsia="宋体" w:cs="Times New Roman"/>
          <w:bCs/>
          <w:sz w:val="24"/>
          <w:szCs w:val="20"/>
          <w:lang w:val="zh-CN"/>
        </w:rPr>
        <w:t>成</w:t>
      </w:r>
      <w:r>
        <w:rPr>
          <w:rFonts w:hint="eastAsia" w:ascii="宋体" w:hAnsi="宋体" w:eastAsia="宋体" w:cs="Times New Roman"/>
          <w:bCs/>
          <w:color w:val="0D0D0D"/>
          <w:sz w:val="24"/>
          <w:szCs w:val="20"/>
          <w:lang w:val="zh-CN"/>
        </w:rPr>
        <w:t>立资格审查小组，依据法律、法规及招标文件的规定，对投标人的资格进行审查，以确定投标人资格是否合格。</w:t>
      </w:r>
    </w:p>
    <w:p>
      <w:pPr>
        <w:pStyle w:val="3"/>
        <w:numPr>
          <w:ilvl w:val="0"/>
          <w:numId w:val="56"/>
        </w:numPr>
        <w:spacing w:before="0" w:after="0" w:line="360" w:lineRule="auto"/>
        <w:ind w:left="616" w:hanging="616"/>
        <w:jc w:val="left"/>
        <w:rPr>
          <w:rFonts w:cs="Times New Roman" w:asciiTheme="majorEastAsia" w:hAnsiTheme="majorEastAsia"/>
          <w:bCs w:val="0"/>
          <w:sz w:val="30"/>
          <w:szCs w:val="30"/>
          <w:lang w:val="zh-CN"/>
        </w:rPr>
      </w:pPr>
      <w:bookmarkStart w:id="57" w:name="_Toc48230904"/>
      <w:bookmarkStart w:id="58" w:name="_Toc494561959"/>
      <w:r>
        <w:rPr>
          <w:rFonts w:hint="eastAsia" w:cs="Times New Roman" w:asciiTheme="majorEastAsia" w:hAnsiTheme="majorEastAsia"/>
          <w:bCs w:val="0"/>
          <w:sz w:val="30"/>
          <w:szCs w:val="30"/>
          <w:lang w:val="zh-CN"/>
        </w:rPr>
        <w:t>资格审查标准</w:t>
      </w:r>
      <w:bookmarkEnd w:id="57"/>
      <w:bookmarkEnd w:id="58"/>
    </w:p>
    <w:p>
      <w:pPr>
        <w:numPr>
          <w:ilvl w:val="0"/>
          <w:numId w:val="57"/>
        </w:numPr>
        <w:tabs>
          <w:tab w:val="left" w:pos="616"/>
        </w:tabs>
        <w:spacing w:line="360" w:lineRule="auto"/>
        <w:ind w:left="14" w:firstLine="238"/>
        <w:rPr>
          <w:rFonts w:ascii="宋体" w:hAnsi="宋体" w:eastAsia="宋体" w:cs="Times New Roman"/>
          <w:b/>
          <w:color w:val="0D0D0D"/>
          <w:sz w:val="24"/>
          <w:szCs w:val="24"/>
          <w:lang w:val="zh-CN"/>
        </w:rPr>
      </w:pPr>
      <w:r>
        <w:rPr>
          <w:rFonts w:hint="eastAsia" w:ascii="宋体" w:hAnsi="宋体" w:eastAsia="宋体" w:cs="Times New Roman"/>
          <w:b/>
          <w:color w:val="0D0D0D"/>
          <w:sz w:val="24"/>
          <w:szCs w:val="24"/>
          <w:lang w:val="zh-CN"/>
        </w:rPr>
        <w:t>资格证明文件审查</w:t>
      </w:r>
    </w:p>
    <w:p>
      <w:pPr>
        <w:tabs>
          <w:tab w:val="left" w:pos="616"/>
        </w:tabs>
        <w:spacing w:line="360" w:lineRule="auto"/>
        <w:ind w:firstLine="420"/>
        <w:rPr>
          <w:rFonts w:ascii="Helvetica" w:hAnsi="Helvetica" w:eastAsia="宋体" w:cs="Helvetica"/>
          <w:b/>
          <w:color w:val="0D0D0D"/>
          <w:kern w:val="0"/>
          <w:sz w:val="24"/>
          <w:szCs w:val="24"/>
          <w:lang w:val="zh-CN"/>
        </w:rPr>
      </w:pPr>
      <w:r>
        <w:rPr>
          <w:rFonts w:hint="eastAsia" w:ascii="Helvetica" w:hAnsi="Helvetica" w:eastAsia="宋体" w:cs="Helvetica"/>
          <w:color w:val="0D0D0D"/>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0D0D0D"/>
          <w:kern w:val="0"/>
          <w:sz w:val="24"/>
          <w:szCs w:val="24"/>
          <w:lang w:val="zh-CN"/>
        </w:rPr>
        <w:t>无效投标处理：</w:t>
      </w:r>
    </w:p>
    <w:p>
      <w:pPr>
        <w:pStyle w:val="25"/>
        <w:numPr>
          <w:ilvl w:val="0"/>
          <w:numId w:val="5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应具备《政府采购法》第二十二条第一款规定的条件，</w:t>
      </w:r>
      <w:r>
        <w:rPr>
          <w:rFonts w:hint="eastAsia" w:hAnsi="宋体"/>
          <w:sz w:val="24"/>
          <w:szCs w:val="24"/>
        </w:rPr>
        <w:t>提供下列材料</w:t>
      </w:r>
      <w:r>
        <w:rPr>
          <w:rFonts w:hint="eastAsia" w:ascii="宋体" w:hAnsi="宋体" w:eastAsia="宋体" w:cs="Times New Roman"/>
          <w:sz w:val="24"/>
          <w:szCs w:val="24"/>
          <w:lang w:val="zh-CN"/>
        </w:rPr>
        <w:t>：</w:t>
      </w:r>
    </w:p>
    <w:p>
      <w:pPr>
        <w:pStyle w:val="25"/>
        <w:numPr>
          <w:ilvl w:val="0"/>
          <w:numId w:val="5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法人或者其他组织的营业执照等证明文件，自然人的身份证明；</w:t>
      </w:r>
    </w:p>
    <w:p>
      <w:pPr>
        <w:pStyle w:val="25"/>
        <w:numPr>
          <w:ilvl w:val="0"/>
          <w:numId w:val="5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财务状况报告，依法缴纳税收和社会保障资金的相关材料；</w:t>
      </w:r>
    </w:p>
    <w:p>
      <w:pPr>
        <w:pStyle w:val="25"/>
        <w:numPr>
          <w:ilvl w:val="0"/>
          <w:numId w:val="5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具备履行合同所必需的设备和专业技术能力的证明材料；</w:t>
      </w:r>
    </w:p>
    <w:p>
      <w:pPr>
        <w:pStyle w:val="25"/>
        <w:numPr>
          <w:ilvl w:val="0"/>
          <w:numId w:val="5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参加政府采购活动前3年内在经营活动中没有重大违法记录的书面声明；</w:t>
      </w:r>
    </w:p>
    <w:p>
      <w:pPr>
        <w:pStyle w:val="25"/>
        <w:numPr>
          <w:ilvl w:val="0"/>
          <w:numId w:val="59"/>
        </w:numPr>
        <w:tabs>
          <w:tab w:val="left" w:pos="1036"/>
        </w:tabs>
        <w:spacing w:line="360" w:lineRule="auto"/>
        <w:ind w:left="1036" w:hanging="616" w:firstLineChars="0"/>
        <w:rPr>
          <w:rFonts w:ascii="宋体" w:hAnsi="宋体" w:eastAsia="宋体" w:cs="Times New Roman"/>
          <w:sz w:val="24"/>
          <w:szCs w:val="24"/>
          <w:lang w:val="zh-CN"/>
        </w:rPr>
      </w:pPr>
      <w:r>
        <w:rPr>
          <w:rFonts w:hint="eastAsia" w:ascii="宋体" w:hAnsi="宋体" w:eastAsia="宋体" w:cs="Times New Roman"/>
          <w:sz w:val="24"/>
          <w:szCs w:val="24"/>
          <w:lang w:val="zh-CN"/>
        </w:rPr>
        <w:t>具备法律、行政法规规定的其他条件的证明材料。</w:t>
      </w:r>
    </w:p>
    <w:p>
      <w:pPr>
        <w:pStyle w:val="25"/>
        <w:numPr>
          <w:ilvl w:val="0"/>
          <w:numId w:val="5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sz w:val="24"/>
          <w:szCs w:val="24"/>
          <w:lang w:val="zh-CN"/>
        </w:rPr>
        <w:t>未被“信用中国”网站(www.creditchina.gov.cn)列入失信被执行人、重大税收违法案件当事人名单</w:t>
      </w:r>
      <w:r>
        <w:rPr>
          <w:rFonts w:hint="eastAsia" w:ascii="宋体" w:hAnsi="宋体" w:eastAsia="宋体" w:cs="Times New Roman"/>
          <w:sz w:val="24"/>
          <w:szCs w:val="24"/>
          <w:lang w:val="zh-CN"/>
        </w:rPr>
        <w:t>的书面申明及该网站查询结果页面截图</w:t>
      </w:r>
      <w:r>
        <w:rPr>
          <w:rFonts w:hint="eastAsia" w:ascii="宋体" w:hAnsi="宋体"/>
          <w:sz w:val="24"/>
          <w:szCs w:val="24"/>
          <w:lang w:val="zh-CN"/>
        </w:rPr>
        <w:t>；</w:t>
      </w:r>
      <w:r>
        <w:rPr>
          <w:rFonts w:hint="eastAsia" w:ascii="宋体" w:hAnsi="宋体"/>
          <w:sz w:val="24"/>
          <w:szCs w:val="24"/>
        </w:rPr>
        <w:t>未被“中国政府采购网”（www.ccgp.gov.cn）列入政府采购严重违法失信行为记录名单</w:t>
      </w:r>
      <w:r>
        <w:rPr>
          <w:rFonts w:hint="eastAsia" w:ascii="宋体" w:hAnsi="宋体" w:eastAsia="宋体" w:cs="Times New Roman"/>
          <w:sz w:val="24"/>
          <w:szCs w:val="24"/>
          <w:lang w:val="zh-CN"/>
        </w:rPr>
        <w:t>的书面申明及该网站查询结果页面截图</w:t>
      </w:r>
      <w:r>
        <w:rPr>
          <w:rFonts w:hint="eastAsia" w:ascii="宋体" w:hAnsi="宋体"/>
          <w:sz w:val="24"/>
          <w:szCs w:val="24"/>
          <w:lang w:val="zh-CN"/>
        </w:rPr>
        <w:t>。</w:t>
      </w:r>
    </w:p>
    <w:p>
      <w:pPr>
        <w:pStyle w:val="25"/>
        <w:numPr>
          <w:ilvl w:val="0"/>
          <w:numId w:val="5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招标文件第一章“投标人资格要求”中有特殊要求的，投标人应提供其符合特殊要求的证明材料或者情况说明；</w:t>
      </w:r>
    </w:p>
    <w:p>
      <w:pPr>
        <w:pStyle w:val="25"/>
        <w:numPr>
          <w:ilvl w:val="0"/>
          <w:numId w:val="5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不符合联合体投标相关规定和要求的；</w:t>
      </w:r>
    </w:p>
    <w:p>
      <w:pPr>
        <w:pStyle w:val="25"/>
        <w:numPr>
          <w:ilvl w:val="0"/>
          <w:numId w:val="5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投标人认为需提供的其它相关资格证明材料；</w:t>
      </w:r>
    </w:p>
    <w:p>
      <w:pPr>
        <w:pStyle w:val="25"/>
        <w:numPr>
          <w:ilvl w:val="0"/>
          <w:numId w:val="58"/>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资格证明文件正本应为清晰彩色影印件且加盖单位公章。</w:t>
      </w:r>
    </w:p>
    <w:p>
      <w:pPr>
        <w:numPr>
          <w:ilvl w:val="0"/>
          <w:numId w:val="57"/>
        </w:numPr>
        <w:tabs>
          <w:tab w:val="left" w:pos="616"/>
        </w:tabs>
        <w:spacing w:line="360" w:lineRule="auto"/>
        <w:ind w:left="14" w:firstLine="238"/>
        <w:rPr>
          <w:rFonts w:ascii="宋体" w:hAnsi="宋体" w:eastAsia="宋体" w:cs="Times New Roman"/>
          <w:b/>
          <w:sz w:val="24"/>
          <w:szCs w:val="24"/>
          <w:lang w:val="zh-CN"/>
        </w:rPr>
      </w:pPr>
      <w:r>
        <w:rPr>
          <w:rFonts w:hint="eastAsia" w:ascii="宋体" w:hAnsi="宋体" w:eastAsia="宋体" w:cs="Times New Roman"/>
          <w:b/>
          <w:sz w:val="24"/>
          <w:szCs w:val="24"/>
          <w:lang w:val="zh-CN"/>
        </w:rPr>
        <w:t>确定资格审查合格投标人</w:t>
      </w:r>
    </w:p>
    <w:p>
      <w:pPr>
        <w:pStyle w:val="25"/>
        <w:numPr>
          <w:ilvl w:val="0"/>
          <w:numId w:val="6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sz w:val="24"/>
          <w:szCs w:val="24"/>
          <w:lang w:val="zh-CN"/>
        </w:rPr>
        <w:t>形成书面的资格审查报告</w:t>
      </w:r>
      <w:r>
        <w:rPr>
          <w:rFonts w:hint="eastAsia" w:ascii="宋体" w:hAnsi="宋体" w:eastAsia="宋体" w:cs="Times New Roman"/>
          <w:bCs/>
          <w:sz w:val="24"/>
          <w:szCs w:val="24"/>
          <w:lang w:val="zh-CN"/>
        </w:rPr>
        <w:t>。</w:t>
      </w:r>
    </w:p>
    <w:p>
      <w:pPr>
        <w:pStyle w:val="25"/>
        <w:numPr>
          <w:ilvl w:val="0"/>
          <w:numId w:val="6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资格审查合格投标人不足3家的，不进行评标。</w:t>
      </w:r>
    </w:p>
    <w:p>
      <w:pPr>
        <w:pStyle w:val="25"/>
        <w:numPr>
          <w:ilvl w:val="0"/>
          <w:numId w:val="6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资格审查未通过的投标人可在结果公告质疑有效期内按公告中的联系方式获知</w:t>
      </w:r>
      <w:r>
        <w:rPr>
          <w:rFonts w:ascii="宋体" w:hAnsi="宋体" w:eastAsia="宋体" w:cs="Times New Roman"/>
          <w:sz w:val="24"/>
          <w:szCs w:val="24"/>
          <w:lang w:val="zh-CN"/>
        </w:rPr>
        <w:t>本</w:t>
      </w:r>
      <w:r>
        <w:rPr>
          <w:rFonts w:hint="eastAsia" w:ascii="宋体" w:hAnsi="宋体" w:eastAsia="宋体" w:cs="Times New Roman"/>
          <w:sz w:val="24"/>
          <w:szCs w:val="24"/>
          <w:lang w:val="zh-CN"/>
        </w:rPr>
        <w:t>单位</w:t>
      </w:r>
      <w:r>
        <w:rPr>
          <w:rFonts w:ascii="宋体" w:hAnsi="宋体" w:eastAsia="宋体" w:cs="Times New Roman"/>
          <w:sz w:val="24"/>
          <w:szCs w:val="24"/>
          <w:lang w:val="zh-CN"/>
        </w:rPr>
        <w:t>的</w:t>
      </w:r>
      <w:r>
        <w:rPr>
          <w:rFonts w:hint="eastAsia" w:ascii="宋体" w:hAnsi="宋体" w:eastAsia="宋体" w:cs="Times New Roman"/>
          <w:sz w:val="24"/>
          <w:szCs w:val="24"/>
          <w:lang w:val="zh-CN"/>
        </w:rPr>
        <w:t>资格审查情况。</w:t>
      </w:r>
    </w:p>
    <w:p>
      <w:pPr>
        <w:pStyle w:val="25"/>
        <w:numPr>
          <w:ilvl w:val="0"/>
          <w:numId w:val="60"/>
        </w:numPr>
        <w:tabs>
          <w:tab w:val="left" w:pos="840"/>
        </w:tabs>
        <w:spacing w:line="360" w:lineRule="auto"/>
        <w:ind w:hanging="602" w:firstLineChars="0"/>
        <w:rPr>
          <w:rFonts w:ascii="宋体" w:hAnsi="宋体" w:eastAsia="宋体" w:cs="Times New Roman"/>
          <w:sz w:val="24"/>
          <w:szCs w:val="24"/>
          <w:lang w:val="zh-CN"/>
        </w:rPr>
      </w:pPr>
      <w:r>
        <w:rPr>
          <w:rFonts w:hint="eastAsia" w:ascii="宋体" w:hAnsi="宋体" w:eastAsia="宋体" w:cs="Times New Roman"/>
          <w:sz w:val="24"/>
          <w:szCs w:val="24"/>
          <w:lang w:val="zh-CN"/>
        </w:rPr>
        <w:t>采购人已进行资格预审的，不再进行资格审查。未通过资格预审的投标人，采购人、采购代理机构</w:t>
      </w:r>
      <w:r>
        <w:rPr>
          <w:rFonts w:hint="eastAsia" w:ascii="宋体" w:hAnsi="宋体" w:eastAsia="宋体" w:cs="Times New Roman"/>
          <w:b/>
          <w:bCs/>
          <w:sz w:val="24"/>
          <w:szCs w:val="24"/>
          <w:lang w:val="zh-CN"/>
        </w:rPr>
        <w:t>拒绝</w:t>
      </w:r>
      <w:r>
        <w:rPr>
          <w:rFonts w:hint="eastAsia" w:ascii="宋体" w:hAnsi="宋体" w:eastAsia="宋体" w:cs="Times New Roman"/>
          <w:sz w:val="24"/>
          <w:szCs w:val="24"/>
          <w:lang w:val="zh-CN"/>
        </w:rPr>
        <w:t>其投标。</w:t>
      </w:r>
    </w:p>
    <w:p>
      <w:r>
        <w:br w:type="page"/>
      </w:r>
    </w:p>
    <w:p>
      <w:pPr>
        <w:pStyle w:val="2"/>
        <w:numPr>
          <w:ilvl w:val="0"/>
          <w:numId w:val="1"/>
        </w:numPr>
        <w:jc w:val="center"/>
        <w:rPr>
          <w:rFonts w:ascii="黑体" w:hAnsi="黑体" w:eastAsia="黑体"/>
        </w:rPr>
      </w:pPr>
      <w:bookmarkStart w:id="59" w:name="_Toc48230905"/>
      <w:r>
        <w:rPr>
          <w:rFonts w:hint="eastAsia" w:ascii="黑体" w:hAnsi="黑体" w:eastAsia="黑体"/>
        </w:rPr>
        <w:t>评标方法、程序及标准</w:t>
      </w:r>
      <w:bookmarkEnd w:id="59"/>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根据《政府采购法》、《政府采购法实施条例》、《政府采购货物和服务招标投标管理办法》等相关法律法规确定以下评标办法、程序及标准。</w:t>
      </w:r>
    </w:p>
    <w:p>
      <w:pPr>
        <w:pStyle w:val="3"/>
        <w:numPr>
          <w:ilvl w:val="0"/>
          <w:numId w:val="61"/>
        </w:numPr>
        <w:spacing w:before="0" w:after="0" w:line="360" w:lineRule="auto"/>
        <w:ind w:left="616" w:hanging="616"/>
        <w:jc w:val="left"/>
        <w:rPr>
          <w:rFonts w:cs="Times New Roman" w:asciiTheme="majorEastAsia" w:hAnsiTheme="majorEastAsia"/>
          <w:bCs w:val="0"/>
          <w:sz w:val="30"/>
          <w:szCs w:val="30"/>
          <w:lang w:val="zh-CN"/>
        </w:rPr>
      </w:pPr>
      <w:bookmarkStart w:id="60" w:name="_Toc278891605"/>
      <w:bookmarkStart w:id="61" w:name="_Toc272247708"/>
      <w:bookmarkStart w:id="62" w:name="_Toc494561961"/>
      <w:bookmarkStart w:id="63" w:name="_Toc48230906"/>
      <w:r>
        <w:rPr>
          <w:rFonts w:hint="eastAsia" w:cs="Times New Roman" w:asciiTheme="majorEastAsia" w:hAnsiTheme="majorEastAsia"/>
          <w:bCs w:val="0"/>
          <w:sz w:val="30"/>
          <w:szCs w:val="30"/>
          <w:lang w:val="zh-CN"/>
        </w:rPr>
        <w:t>评标</w:t>
      </w:r>
      <w:bookmarkEnd w:id="60"/>
      <w:bookmarkEnd w:id="61"/>
      <w:r>
        <w:rPr>
          <w:rFonts w:hint="eastAsia" w:cs="Times New Roman" w:asciiTheme="majorEastAsia" w:hAnsiTheme="majorEastAsia"/>
          <w:bCs w:val="0"/>
          <w:sz w:val="30"/>
          <w:szCs w:val="30"/>
          <w:lang w:val="zh-CN"/>
        </w:rPr>
        <w:t>方法</w:t>
      </w:r>
      <w:bookmarkEnd w:id="62"/>
      <w:bookmarkEnd w:id="63"/>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本项目评标采用综合评分法，</w:t>
      </w:r>
      <w:r>
        <w:rPr>
          <w:rFonts w:ascii="宋体" w:hAnsi="宋体" w:eastAsia="宋体" w:cs="Times New Roman"/>
          <w:bCs/>
          <w:sz w:val="24"/>
          <w:szCs w:val="20"/>
          <w:lang w:val="zh-CN"/>
        </w:rPr>
        <w:t>是指投标文件满足招标文件全部实质性要求，且按照评审因素的量化指标评审得分最高的投标人为中标候选人的评标方法。</w:t>
      </w:r>
    </w:p>
    <w:p>
      <w:pPr>
        <w:pStyle w:val="3"/>
        <w:numPr>
          <w:ilvl w:val="0"/>
          <w:numId w:val="61"/>
        </w:numPr>
        <w:spacing w:before="0" w:after="0" w:line="360" w:lineRule="auto"/>
        <w:ind w:left="616" w:hanging="616"/>
        <w:jc w:val="left"/>
        <w:rPr>
          <w:rFonts w:cs="Times New Roman" w:asciiTheme="majorEastAsia" w:hAnsiTheme="majorEastAsia"/>
          <w:bCs w:val="0"/>
          <w:sz w:val="30"/>
          <w:szCs w:val="30"/>
          <w:lang w:val="zh-CN"/>
        </w:rPr>
      </w:pPr>
      <w:bookmarkStart w:id="64" w:name="_Toc278891606"/>
      <w:bookmarkStart w:id="65" w:name="_Toc272247709"/>
      <w:bookmarkStart w:id="66" w:name="_Toc48230907"/>
      <w:bookmarkStart w:id="67" w:name="_Toc494561962"/>
      <w:r>
        <w:rPr>
          <w:rFonts w:hint="eastAsia" w:cs="Times New Roman" w:asciiTheme="majorEastAsia" w:hAnsiTheme="majorEastAsia"/>
          <w:bCs w:val="0"/>
          <w:sz w:val="30"/>
          <w:szCs w:val="30"/>
          <w:lang w:val="zh-CN"/>
        </w:rPr>
        <w:t>评标程序</w:t>
      </w:r>
      <w:bookmarkEnd w:id="64"/>
      <w:bookmarkEnd w:id="65"/>
      <w:r>
        <w:rPr>
          <w:rFonts w:hint="eastAsia" w:cs="Times New Roman" w:asciiTheme="majorEastAsia" w:hAnsiTheme="majorEastAsia"/>
          <w:bCs w:val="0"/>
          <w:sz w:val="30"/>
          <w:szCs w:val="30"/>
          <w:lang w:val="zh-CN"/>
        </w:rPr>
        <w:t>及标准</w:t>
      </w:r>
      <w:bookmarkEnd w:id="66"/>
      <w:bookmarkEnd w:id="67"/>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评标委员会按以下工作程序进行评标：</w:t>
      </w:r>
      <w:r>
        <w:rPr>
          <w:rFonts w:hint="eastAsia" w:ascii="宋体" w:hAnsi="宋体" w:eastAsia="宋体" w:cs="Times New Roman"/>
          <w:sz w:val="24"/>
          <w:szCs w:val="20"/>
          <w:lang w:val="zh-CN"/>
        </w:rPr>
        <w:t>符合性审查、澄清有关问题、综合比较和评价、确定中标候选人名单。</w:t>
      </w:r>
    </w:p>
    <w:p>
      <w:pPr>
        <w:numPr>
          <w:ilvl w:val="0"/>
          <w:numId w:val="62"/>
        </w:numPr>
        <w:ind w:left="1311" w:leftChars="154" w:hanging="988" w:hangingChars="353"/>
        <w:rPr>
          <w:rFonts w:ascii="宋体" w:hAnsi="宋体" w:eastAsia="宋体" w:cs="Times New Roman"/>
          <w:strike/>
          <w:sz w:val="28"/>
          <w:szCs w:val="28"/>
          <w:lang w:val="zh-CN"/>
        </w:rPr>
      </w:pPr>
      <w:r>
        <w:rPr>
          <w:rFonts w:hint="eastAsia" w:ascii="宋体" w:hAnsi="宋体" w:eastAsia="宋体" w:cs="Times New Roman"/>
          <w:b/>
          <w:sz w:val="28"/>
          <w:szCs w:val="28"/>
          <w:lang w:val="zh-CN"/>
        </w:rPr>
        <w:t>符合性审查</w:t>
      </w:r>
    </w:p>
    <w:p>
      <w:pPr>
        <w:spacing w:line="360" w:lineRule="auto"/>
        <w:ind w:firstLine="470" w:firstLineChars="196"/>
        <w:rPr>
          <w:rFonts w:ascii="宋体" w:hAnsi="宋体" w:eastAsia="宋体" w:cs="Times New Roman"/>
          <w:bCs/>
          <w:sz w:val="24"/>
          <w:szCs w:val="20"/>
          <w:lang w:val="zh-CN"/>
        </w:rPr>
      </w:pPr>
      <w:r>
        <w:rPr>
          <w:rFonts w:ascii="Helvetica" w:hAnsi="Helvetica" w:eastAsia="宋体" w:cs="Helvetica"/>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sz w:val="24"/>
          <w:szCs w:val="20"/>
          <w:lang w:val="zh-CN"/>
        </w:rPr>
        <w:t>符合性审查出现下列情形之一的投标按照</w:t>
      </w:r>
      <w:r>
        <w:rPr>
          <w:rFonts w:hint="eastAsia" w:ascii="宋体" w:hAnsi="宋体" w:eastAsia="宋体" w:cs="Times New Roman"/>
          <w:b/>
          <w:sz w:val="24"/>
          <w:szCs w:val="20"/>
          <w:lang w:val="zh-CN"/>
        </w:rPr>
        <w:t>无效投标处理：</w:t>
      </w:r>
    </w:p>
    <w:p>
      <w:pPr>
        <w:numPr>
          <w:ilvl w:val="0"/>
          <w:numId w:val="6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投标总报价超过项目（分包）预算金额或最高限价的；</w:t>
      </w:r>
    </w:p>
    <w:p>
      <w:pPr>
        <w:numPr>
          <w:ilvl w:val="0"/>
          <w:numId w:val="6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《投标书》、《法定代表人授权书》、《开标一览表》、《投标报价明细表》未提供或不符合招标文件要求的；</w:t>
      </w:r>
    </w:p>
    <w:p>
      <w:pPr>
        <w:numPr>
          <w:ilvl w:val="0"/>
          <w:numId w:val="6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工期（服务期限）、质保期不符合招标文件要求的；</w:t>
      </w:r>
    </w:p>
    <w:p>
      <w:pPr>
        <w:numPr>
          <w:ilvl w:val="0"/>
          <w:numId w:val="6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出现两个或两个以上不同报价的；</w:t>
      </w:r>
    </w:p>
    <w:p>
      <w:pPr>
        <w:numPr>
          <w:ilvl w:val="0"/>
          <w:numId w:val="6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出现两个或两个以上投标方案的（招标文件中要求提供备选方案的除外）；</w:t>
      </w:r>
    </w:p>
    <w:p>
      <w:pPr>
        <w:numPr>
          <w:ilvl w:val="0"/>
          <w:numId w:val="6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投标报价存在缺项、漏项的；</w:t>
      </w:r>
    </w:p>
    <w:p>
      <w:pPr>
        <w:numPr>
          <w:ilvl w:val="0"/>
          <w:numId w:val="6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投标有效期不足的；</w:t>
      </w:r>
    </w:p>
    <w:p>
      <w:pPr>
        <w:numPr>
          <w:ilvl w:val="0"/>
          <w:numId w:val="63"/>
        </w:numPr>
        <w:tabs>
          <w:tab w:val="left" w:pos="61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无法定代表人签字（签章）或签字（签章）人无法定代表人有效授权的；</w:t>
      </w:r>
    </w:p>
    <w:p>
      <w:pPr>
        <w:numPr>
          <w:ilvl w:val="0"/>
          <w:numId w:val="63"/>
        </w:numPr>
        <w:tabs>
          <w:tab w:val="left" w:pos="756"/>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正本未按要求提供加盖公章及签字（签章）原件的；</w:t>
      </w:r>
    </w:p>
    <w:p>
      <w:pPr>
        <w:numPr>
          <w:ilvl w:val="0"/>
          <w:numId w:val="6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符合招标文件第二章“投标人须知”中40条中规定情形，以分公司形式参与投标的，法定代表人授权书未由总公司法定代表人签字（盖章）并加盖公章的；</w:t>
      </w:r>
    </w:p>
    <w:p>
      <w:pPr>
        <w:numPr>
          <w:ilvl w:val="0"/>
          <w:numId w:val="6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未按要求提供招标文件第二章“十 其他注意事项”中规定的书面声明的；</w:t>
      </w:r>
    </w:p>
    <w:p>
      <w:pPr>
        <w:numPr>
          <w:ilvl w:val="0"/>
          <w:numId w:val="6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招标文件中有节能产品强制要求的，投标人未按要求提供最新一期《节能产品政府采购清单》（正式稿）中的产品型号且未附该产品清单所在完整页面；若节能产品中有台式计算机的，未按要求提供最新一期《节能产品政府采购清单台式计算机性能参数》中产品性能参数的所在完整页面且所投型号和所列性能参数不一致的；</w:t>
      </w:r>
      <w:r>
        <w:rPr>
          <w:rFonts w:hint="eastAsia" w:ascii="Times New Roman" w:hAnsi="宋体" w:eastAsia="宋体" w:cs="Times New Roman"/>
          <w:b/>
          <w:bCs/>
          <w:sz w:val="24"/>
          <w:szCs w:val="24"/>
          <w:highlight w:val="none"/>
          <w:lang w:val="zh-CN"/>
        </w:rPr>
        <w:t>（本项目不适用）</w:t>
      </w:r>
    </w:p>
    <w:p>
      <w:pPr>
        <w:numPr>
          <w:ilvl w:val="0"/>
          <w:numId w:val="6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所投货物是通过中国海关报关验放进入中国境内且产自关境外的（招标文件中注明已办理进口产品核准的除外）；</w:t>
      </w:r>
      <w:r>
        <w:rPr>
          <w:rFonts w:hint="eastAsia" w:ascii="Times New Roman" w:hAnsi="宋体" w:eastAsia="宋体" w:cs="Times New Roman"/>
          <w:b/>
          <w:bCs/>
          <w:sz w:val="24"/>
          <w:szCs w:val="24"/>
          <w:highlight w:val="none"/>
          <w:lang w:val="zh-CN"/>
        </w:rPr>
        <w:t>（本项目不适用）</w:t>
      </w:r>
    </w:p>
    <w:p>
      <w:pPr>
        <w:numPr>
          <w:ilvl w:val="0"/>
          <w:numId w:val="6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未提供所投货物（工程或服务）的具体参数值或功能表述，或原文复制招标文件的技术规格相关部分内容作为其投标文件的一部分的；</w:t>
      </w:r>
    </w:p>
    <w:p>
      <w:pPr>
        <w:numPr>
          <w:ilvl w:val="0"/>
          <w:numId w:val="6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不满足招标文件第三章“项目内容、服务和商务要求”中“★”号条款要求的；</w:t>
      </w:r>
    </w:p>
    <w:p>
      <w:pPr>
        <w:numPr>
          <w:ilvl w:val="0"/>
          <w:numId w:val="6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含有采购人不能接受的附加条件的</w:t>
      </w:r>
      <w:r>
        <w:rPr>
          <w:rFonts w:hint="eastAsia" w:ascii="Times New Roman" w:hAnsi="宋体" w:eastAsia="宋体" w:cs="Times New Roman"/>
          <w:sz w:val="24"/>
          <w:szCs w:val="24"/>
          <w:lang w:val="zh-CN"/>
        </w:rPr>
        <w:t>；</w:t>
      </w:r>
    </w:p>
    <w:p>
      <w:pPr>
        <w:numPr>
          <w:ilvl w:val="0"/>
          <w:numId w:val="6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hint="eastAsia" w:ascii="Times New Roman" w:hAnsi="宋体" w:eastAsia="宋体" w:cs="Times New Roman"/>
          <w:sz w:val="24"/>
          <w:szCs w:val="24"/>
          <w:lang w:val="zh-CN"/>
        </w:rPr>
        <w:t>未按要求提供《符合性审查对照表》、《商务要求响应、偏离说明表》、《商务要求“★”号条款响应、偏离说明表》、《商务评议对照表》和《技术、服务要求响应、偏离说明表》、《技术、服务要求“★”号条款响应、偏离说明表》、《技术、服务评议对照表》的；</w:t>
      </w:r>
    </w:p>
    <w:p>
      <w:pPr>
        <w:numPr>
          <w:ilvl w:val="0"/>
          <w:numId w:val="63"/>
        </w:numPr>
        <w:tabs>
          <w:tab w:val="left" w:pos="742"/>
        </w:tabs>
        <w:spacing w:line="360" w:lineRule="auto"/>
        <w:ind w:left="10" w:leftChars="5" w:firstLine="237" w:firstLineChars="99"/>
        <w:rPr>
          <w:rFonts w:ascii="Times New Roman" w:hAnsi="宋体" w:eastAsia="宋体" w:cs="Times New Roman"/>
          <w:sz w:val="24"/>
          <w:szCs w:val="24"/>
          <w:lang w:val="zh-CN"/>
        </w:rPr>
      </w:pPr>
      <w:r>
        <w:rPr>
          <w:rFonts w:ascii="Times New Roman" w:hAnsi="宋体" w:eastAsia="宋体" w:cs="Times New Roman"/>
          <w:sz w:val="24"/>
          <w:szCs w:val="24"/>
          <w:lang w:val="zh-CN"/>
        </w:rPr>
        <w:t>法律、法规</w:t>
      </w:r>
      <w:r>
        <w:rPr>
          <w:rFonts w:hint="eastAsia" w:ascii="Times New Roman" w:hAnsi="宋体" w:eastAsia="宋体" w:cs="Times New Roman"/>
          <w:sz w:val="24"/>
          <w:szCs w:val="24"/>
          <w:lang w:val="zh-CN"/>
        </w:rPr>
        <w:t>和招标文件</w:t>
      </w:r>
      <w:r>
        <w:rPr>
          <w:rFonts w:ascii="Times New Roman" w:hAnsi="宋体" w:eastAsia="宋体" w:cs="Times New Roman"/>
          <w:sz w:val="24"/>
          <w:szCs w:val="24"/>
          <w:lang w:val="zh-CN"/>
        </w:rPr>
        <w:t>规定的其他</w:t>
      </w:r>
      <w:r>
        <w:rPr>
          <w:rFonts w:hint="eastAsia" w:ascii="Times New Roman" w:hAnsi="宋体" w:eastAsia="宋体" w:cs="Times New Roman"/>
          <w:sz w:val="24"/>
          <w:szCs w:val="24"/>
          <w:lang w:val="zh-CN"/>
        </w:rPr>
        <w:t>无效投标</w:t>
      </w:r>
      <w:r>
        <w:rPr>
          <w:rFonts w:ascii="Times New Roman" w:hAnsi="宋体" w:eastAsia="宋体" w:cs="Times New Roman"/>
          <w:sz w:val="24"/>
          <w:szCs w:val="24"/>
          <w:lang w:val="zh-CN"/>
        </w:rPr>
        <w:t>情形。</w:t>
      </w:r>
    </w:p>
    <w:p>
      <w:pPr>
        <w:numPr>
          <w:ilvl w:val="0"/>
          <w:numId w:val="6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澄清有关问题</w:t>
      </w:r>
    </w:p>
    <w:p>
      <w:pPr>
        <w:numPr>
          <w:ilvl w:val="0"/>
          <w:numId w:val="64"/>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评标期间，</w:t>
      </w:r>
      <w:r>
        <w:rPr>
          <w:rFonts w:ascii="Helvetica" w:hAnsi="Helvetica" w:eastAsia="宋体" w:cs="Helvetica"/>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64"/>
        </w:numPr>
        <w:tabs>
          <w:tab w:val="left" w:pos="616"/>
        </w:tabs>
        <w:spacing w:line="360" w:lineRule="auto"/>
        <w:ind w:left="10" w:leftChars="5" w:firstLine="237" w:firstLineChars="99"/>
        <w:rPr>
          <w:rFonts w:ascii="宋体" w:hAnsi="宋体" w:eastAsia="宋体" w:cs="Times New Roman"/>
          <w:bCs/>
          <w:strike/>
          <w:sz w:val="24"/>
          <w:szCs w:val="20"/>
          <w:lang w:val="zh-CN"/>
        </w:rPr>
      </w:pPr>
      <w:r>
        <w:rPr>
          <w:rFonts w:hint="eastAsia" w:ascii="宋体" w:hAnsi="宋体" w:eastAsia="宋体" w:cs="Times New Roman"/>
          <w:bCs/>
          <w:sz w:val="24"/>
          <w:szCs w:val="20"/>
          <w:lang w:val="zh-CN"/>
        </w:rPr>
        <w:t>投标人应按照评标委员会要求的澄清内容在规定时间内做出澄清。</w:t>
      </w:r>
      <w:r>
        <w:rPr>
          <w:rFonts w:ascii="宋体" w:hAnsi="宋体" w:eastAsia="宋体" w:cs="Times New Roman"/>
          <w:sz w:val="24"/>
          <w:szCs w:val="20"/>
          <w:lang w:val="zh-CN"/>
        </w:rPr>
        <w:t>投标文件报价出现前后不一致的</w:t>
      </w:r>
      <w:r>
        <w:rPr>
          <w:rFonts w:hint="eastAsia" w:ascii="宋体" w:hAnsi="宋体" w:eastAsia="宋体" w:cs="Times New Roman"/>
          <w:sz w:val="24"/>
          <w:szCs w:val="20"/>
          <w:lang w:val="zh-CN"/>
        </w:rPr>
        <w:t>，按照本节第3</w:t>
      </w:r>
      <w:r>
        <w:rPr>
          <w:rFonts w:hint="eastAsia" w:ascii="宋体" w:hAnsi="宋体" w:eastAsia="宋体" w:cs="Times New Roman"/>
          <w:bCs/>
          <w:sz w:val="24"/>
          <w:szCs w:val="20"/>
          <w:lang w:val="zh-CN"/>
        </w:rPr>
        <w:t>条规定进行修正，</w:t>
      </w:r>
      <w:r>
        <w:rPr>
          <w:rFonts w:ascii="Helvetica" w:hAnsi="Helvetica" w:eastAsia="宋体" w:cs="Helvetica"/>
          <w:kern w:val="0"/>
          <w:sz w:val="24"/>
          <w:szCs w:val="24"/>
          <w:lang w:val="zh-CN"/>
        </w:rPr>
        <w:t>投标人的澄清、说明或者补正不得超出投标文件的范围或者改变投标文件的实质性内容。</w:t>
      </w:r>
    </w:p>
    <w:p>
      <w:pPr>
        <w:numPr>
          <w:ilvl w:val="0"/>
          <w:numId w:val="64"/>
        </w:numPr>
        <w:tabs>
          <w:tab w:val="left" w:pos="616"/>
        </w:tabs>
        <w:spacing w:line="360" w:lineRule="auto"/>
        <w:ind w:left="10" w:leftChars="5" w:firstLine="237" w:firstLineChars="99"/>
        <w:rPr>
          <w:rFonts w:ascii="宋体" w:hAnsi="宋体" w:eastAsia="宋体" w:cs="Times New Roman"/>
          <w:bCs/>
          <w:sz w:val="24"/>
          <w:szCs w:val="20"/>
          <w:lang w:val="zh-CN"/>
        </w:rPr>
      </w:pPr>
      <w:r>
        <w:rPr>
          <w:rFonts w:ascii="宋体" w:hAnsi="宋体" w:eastAsia="宋体" w:cs="Times New Roman"/>
          <w:bCs/>
          <w:sz w:val="24"/>
          <w:szCs w:val="20"/>
          <w:lang w:val="zh-CN"/>
        </w:rPr>
        <w:t>投标文件报价出现前后不一致的，按照下列规定修正：</w:t>
      </w:r>
    </w:p>
    <w:p>
      <w:pPr>
        <w:numPr>
          <w:ilvl w:val="0"/>
          <w:numId w:val="6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投标文件中开标一览表内容与投标文件中相应内容不一致的，以开标一览表为准</w:t>
      </w:r>
      <w:r>
        <w:rPr>
          <w:rFonts w:hint="eastAsia" w:ascii="宋体" w:hAnsi="宋体" w:eastAsia="宋体" w:cs="Times New Roman"/>
          <w:color w:val="0D0D0D"/>
          <w:sz w:val="24"/>
          <w:szCs w:val="24"/>
          <w:lang w:val="zh-CN"/>
        </w:rPr>
        <w:t>。</w:t>
      </w:r>
    </w:p>
    <w:p>
      <w:pPr>
        <w:numPr>
          <w:ilvl w:val="0"/>
          <w:numId w:val="6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大写金额和小写金额不一致的，以大写金额为准</w:t>
      </w:r>
      <w:r>
        <w:rPr>
          <w:rFonts w:hint="eastAsia" w:ascii="宋体" w:hAnsi="宋体" w:eastAsia="宋体" w:cs="Times New Roman"/>
          <w:color w:val="0D0D0D"/>
          <w:sz w:val="24"/>
          <w:szCs w:val="24"/>
          <w:lang w:val="zh-CN"/>
        </w:rPr>
        <w:t>。</w:t>
      </w:r>
    </w:p>
    <w:p>
      <w:pPr>
        <w:numPr>
          <w:ilvl w:val="0"/>
          <w:numId w:val="6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单价金额小数点或者百分比有明显错位的，以开标一览表的总价为准，并修改单价</w:t>
      </w:r>
      <w:r>
        <w:rPr>
          <w:rFonts w:hint="eastAsia" w:ascii="宋体" w:hAnsi="宋体" w:eastAsia="宋体" w:cs="Times New Roman"/>
          <w:color w:val="0D0D0D"/>
          <w:sz w:val="24"/>
          <w:szCs w:val="24"/>
          <w:lang w:val="zh-CN"/>
        </w:rPr>
        <w:t>。</w:t>
      </w:r>
    </w:p>
    <w:p>
      <w:pPr>
        <w:numPr>
          <w:ilvl w:val="0"/>
          <w:numId w:val="6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总价金额与按单价汇总金额不一致的，以单价金额计算结果为准</w:t>
      </w:r>
      <w:r>
        <w:rPr>
          <w:rFonts w:hint="eastAsia" w:ascii="宋体" w:hAnsi="宋体" w:eastAsia="宋体" w:cs="Times New Roman"/>
          <w:color w:val="0D0D0D"/>
          <w:sz w:val="24"/>
          <w:szCs w:val="24"/>
          <w:lang w:val="zh-CN"/>
        </w:rPr>
        <w:t>。</w:t>
      </w:r>
    </w:p>
    <w:p>
      <w:pPr>
        <w:numPr>
          <w:ilvl w:val="0"/>
          <w:numId w:val="6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同时出现两种以上不一致的，按照前款规定的顺序修正</w:t>
      </w:r>
      <w:r>
        <w:rPr>
          <w:rFonts w:hint="eastAsia" w:ascii="宋体" w:hAnsi="宋体" w:eastAsia="宋体" w:cs="Times New Roman"/>
          <w:color w:val="0D0D0D"/>
          <w:sz w:val="24"/>
          <w:szCs w:val="24"/>
          <w:lang w:val="zh-CN"/>
        </w:rPr>
        <w:t>。</w:t>
      </w:r>
    </w:p>
    <w:p>
      <w:pPr>
        <w:numPr>
          <w:ilvl w:val="0"/>
          <w:numId w:val="65"/>
        </w:numPr>
        <w:adjustRightInd w:val="0"/>
        <w:spacing w:line="360" w:lineRule="auto"/>
        <w:ind w:left="742" w:hanging="493"/>
        <w:rPr>
          <w:rFonts w:ascii="宋体" w:hAnsi="宋体" w:eastAsia="宋体" w:cs="Times New Roman"/>
          <w:color w:val="0D0D0D"/>
          <w:sz w:val="24"/>
          <w:szCs w:val="24"/>
          <w:lang w:val="zh-CN"/>
        </w:rPr>
      </w:pPr>
      <w:r>
        <w:rPr>
          <w:rFonts w:ascii="宋体" w:hAnsi="宋体" w:eastAsia="宋体" w:cs="Times New Roman"/>
          <w:color w:val="0D0D0D"/>
          <w:sz w:val="24"/>
          <w:szCs w:val="24"/>
          <w:lang w:val="zh-CN"/>
        </w:rPr>
        <w:t>修正后的报价按照</w:t>
      </w:r>
      <w:r>
        <w:rPr>
          <w:rFonts w:hint="eastAsia" w:ascii="宋体" w:hAnsi="宋体" w:eastAsia="宋体" w:cs="Times New Roman"/>
          <w:color w:val="0D0D0D"/>
          <w:sz w:val="24"/>
          <w:szCs w:val="24"/>
          <w:lang w:val="zh-CN"/>
        </w:rPr>
        <w:t>本节第4条规定</w:t>
      </w:r>
      <w:r>
        <w:rPr>
          <w:rFonts w:ascii="宋体" w:hAnsi="宋体" w:eastAsia="宋体" w:cs="Times New Roman"/>
          <w:color w:val="0D0D0D"/>
          <w:sz w:val="24"/>
          <w:szCs w:val="24"/>
          <w:lang w:val="zh-CN"/>
        </w:rPr>
        <w:t>经投标人确认后产生约束力，投标人不确认的，</w:t>
      </w:r>
      <w:r>
        <w:rPr>
          <w:rFonts w:hint="eastAsia" w:ascii="宋体" w:hAnsi="宋体" w:eastAsia="宋体" w:cs="Times New Roman"/>
          <w:color w:val="0D0D0D"/>
          <w:sz w:val="24"/>
          <w:szCs w:val="24"/>
          <w:lang w:val="zh-CN"/>
        </w:rPr>
        <w:t>按照</w:t>
      </w:r>
      <w:r>
        <w:rPr>
          <w:rFonts w:ascii="宋体" w:hAnsi="宋体" w:eastAsia="宋体" w:cs="Times New Roman"/>
          <w:color w:val="0D0D0D"/>
          <w:sz w:val="24"/>
          <w:szCs w:val="24"/>
          <w:lang w:val="zh-CN"/>
        </w:rPr>
        <w:t>无效</w:t>
      </w:r>
      <w:r>
        <w:rPr>
          <w:rFonts w:hint="eastAsia" w:ascii="宋体" w:hAnsi="宋体" w:eastAsia="宋体" w:cs="Times New Roman"/>
          <w:color w:val="0D0D0D"/>
          <w:sz w:val="24"/>
          <w:szCs w:val="24"/>
          <w:lang w:val="zh-CN"/>
        </w:rPr>
        <w:t>投标处理</w:t>
      </w:r>
      <w:r>
        <w:rPr>
          <w:rFonts w:ascii="宋体" w:hAnsi="宋体" w:eastAsia="宋体" w:cs="Times New Roman"/>
          <w:color w:val="0D0D0D"/>
          <w:sz w:val="24"/>
          <w:szCs w:val="24"/>
          <w:lang w:val="zh-CN"/>
        </w:rPr>
        <w:t>。</w:t>
      </w:r>
    </w:p>
    <w:p>
      <w:pPr>
        <w:numPr>
          <w:ilvl w:val="0"/>
          <w:numId w:val="64"/>
        </w:numPr>
        <w:tabs>
          <w:tab w:val="left" w:pos="616"/>
        </w:tabs>
        <w:spacing w:line="360" w:lineRule="auto"/>
        <w:ind w:left="10" w:leftChars="5" w:firstLine="237" w:firstLineChars="99"/>
        <w:rPr>
          <w:rFonts w:ascii="宋体" w:hAnsi="宋体" w:eastAsia="宋体" w:cs="Times New Roman"/>
          <w:sz w:val="24"/>
          <w:szCs w:val="20"/>
          <w:lang w:val="zh-CN"/>
        </w:rPr>
      </w:pPr>
      <w:r>
        <w:rPr>
          <w:rFonts w:hint="eastAsia" w:ascii="宋体" w:hAnsi="宋体" w:eastAsia="宋体" w:cs="Times New Roman"/>
          <w:sz w:val="24"/>
          <w:szCs w:val="20"/>
          <w:lang w:val="zh-CN"/>
        </w:rPr>
        <w:t>投标人的</w:t>
      </w:r>
      <w:r>
        <w:rPr>
          <w:rFonts w:ascii="Helvetica" w:hAnsi="Helvetica" w:eastAsia="宋体" w:cs="Helvetica"/>
          <w:kern w:val="0"/>
          <w:sz w:val="24"/>
          <w:szCs w:val="24"/>
          <w:lang w:val="zh-CN"/>
        </w:rPr>
        <w:t>澄清、说明或者补正</w:t>
      </w:r>
      <w:r>
        <w:rPr>
          <w:rFonts w:hint="eastAsia" w:ascii="宋体" w:hAnsi="宋体" w:eastAsia="宋体" w:cs="Times New Roman"/>
          <w:sz w:val="24"/>
          <w:szCs w:val="20"/>
          <w:lang w:val="zh-CN"/>
        </w:rPr>
        <w:t>是其投标文件的有效组成部分。</w:t>
      </w:r>
      <w:r>
        <w:rPr>
          <w:rFonts w:ascii="Helvetica" w:hAnsi="Helvetica" w:eastAsia="宋体" w:cs="Helvetica"/>
          <w:kern w:val="0"/>
          <w:sz w:val="24"/>
          <w:szCs w:val="24"/>
          <w:lang w:val="zh-CN"/>
        </w:rPr>
        <w:t>投标人的澄清、说明或者补正应当采用书面形式，并加盖公章，或者由法定代表人或其授权的代表签字。</w:t>
      </w:r>
    </w:p>
    <w:p>
      <w:pPr>
        <w:numPr>
          <w:ilvl w:val="0"/>
          <w:numId w:val="6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综合比较与评价</w:t>
      </w:r>
    </w:p>
    <w:p>
      <w:pPr>
        <w:spacing w:line="360" w:lineRule="auto"/>
        <w:ind w:firstLine="480" w:firstLineChars="200"/>
        <w:rPr>
          <w:rFonts w:ascii="宋体" w:hAnsi="宋体" w:eastAsia="宋体" w:cs="Times New Roman"/>
          <w:bCs/>
          <w:sz w:val="24"/>
          <w:szCs w:val="20"/>
          <w:lang w:val="zh-CN"/>
        </w:rPr>
      </w:pPr>
      <w:r>
        <w:rPr>
          <w:rFonts w:ascii="宋体" w:hAnsi="宋体" w:eastAsia="宋体" w:cs="Times New Roman"/>
          <w:bCs/>
          <w:sz w:val="24"/>
          <w:szCs w:val="20"/>
          <w:lang w:val="zh-CN"/>
        </w:rPr>
        <w:t>评标委员会应当按照</w:t>
      </w:r>
      <w:r>
        <w:rPr>
          <w:rFonts w:hint="eastAsia" w:ascii="宋体" w:hAnsi="宋体" w:eastAsia="宋体" w:cs="Times New Roman"/>
          <w:bCs/>
          <w:sz w:val="24"/>
          <w:szCs w:val="20"/>
          <w:lang w:val="zh-CN"/>
        </w:rPr>
        <w:t>本章</w:t>
      </w:r>
      <w:r>
        <w:rPr>
          <w:rFonts w:ascii="宋体" w:hAnsi="宋体" w:eastAsia="宋体" w:cs="Times New Roman"/>
          <w:bCs/>
          <w:sz w:val="24"/>
          <w:szCs w:val="20"/>
          <w:lang w:val="zh-CN"/>
        </w:rPr>
        <w:t>中规定的</w:t>
      </w:r>
      <w:r>
        <w:rPr>
          <w:rFonts w:hint="eastAsia" w:ascii="宋体" w:hAnsi="宋体" w:eastAsia="宋体" w:cs="Times New Roman"/>
          <w:bCs/>
          <w:sz w:val="24"/>
          <w:szCs w:val="20"/>
          <w:lang w:val="zh-CN"/>
        </w:rPr>
        <w:t>评标方法和标准</w:t>
      </w:r>
      <w:r>
        <w:rPr>
          <w:rFonts w:ascii="宋体" w:hAnsi="宋体" w:eastAsia="宋体" w:cs="Times New Roman"/>
          <w:bCs/>
          <w:sz w:val="24"/>
          <w:szCs w:val="20"/>
          <w:lang w:val="zh-CN"/>
        </w:rPr>
        <w:t>，对符合性审查合格的投标文件进行商务和技术</w:t>
      </w:r>
      <w:r>
        <w:rPr>
          <w:rFonts w:hint="eastAsia" w:ascii="宋体" w:hAnsi="宋体" w:eastAsia="宋体" w:cs="Times New Roman"/>
          <w:bCs/>
          <w:sz w:val="24"/>
          <w:szCs w:val="20"/>
          <w:lang w:val="zh-CN"/>
        </w:rPr>
        <w:t>、服务</w:t>
      </w:r>
      <w:r>
        <w:rPr>
          <w:rFonts w:ascii="宋体" w:hAnsi="宋体" w:eastAsia="宋体" w:cs="Times New Roman"/>
          <w:bCs/>
          <w:sz w:val="24"/>
          <w:szCs w:val="20"/>
          <w:lang w:val="zh-CN"/>
        </w:rPr>
        <w:t>评估，综合比较与评价。</w:t>
      </w:r>
    </w:p>
    <w:p>
      <w:pPr>
        <w:numPr>
          <w:ilvl w:val="0"/>
          <w:numId w:val="6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商务评议</w:t>
      </w:r>
    </w:p>
    <w:p>
      <w:pPr>
        <w:spacing w:line="360" w:lineRule="auto"/>
        <w:ind w:firstLine="480" w:firstLineChars="200"/>
        <w:rPr>
          <w:rFonts w:ascii="宋体" w:hAnsi="宋体" w:eastAsia="宋体" w:cs="Times New Roman"/>
          <w:bCs/>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评标委员会对符合性审查合格的投标文件进行评议，并依据本章“评审因素及评分标准”中的商务评议进行综合比较和评分。</w:t>
      </w:r>
    </w:p>
    <w:p>
      <w:pPr>
        <w:numPr>
          <w:ilvl w:val="0"/>
          <w:numId w:val="6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技术、服务评议</w:t>
      </w:r>
    </w:p>
    <w:p>
      <w:pPr>
        <w:spacing w:line="360" w:lineRule="auto"/>
        <w:ind w:firstLine="480" w:firstLineChars="200"/>
        <w:rPr>
          <w:rFonts w:ascii="宋体" w:hAnsi="宋体" w:eastAsia="宋体" w:cs="Times New Roman"/>
          <w:kern w:val="0"/>
          <w:sz w:val="24"/>
          <w:szCs w:val="20"/>
          <w:lang w:val="zh-CN"/>
        </w:rPr>
      </w:pPr>
      <w:r>
        <w:rPr>
          <w:rFonts w:hint="eastAsia" w:ascii="宋体" w:hAnsi="宋体" w:eastAsia="宋体" w:cs="Times New Roman"/>
          <w:bCs/>
          <w:sz w:val="24"/>
          <w:szCs w:val="20"/>
          <w:lang w:val="zh-CN"/>
        </w:rPr>
        <w:t>评标委员会对符合性审查合格的投标文件进行评议，并依据本章“评审因素及评分标准”中的技术、服务评议进行综合比较和评分。</w:t>
      </w:r>
    </w:p>
    <w:p>
      <w:pPr>
        <w:numPr>
          <w:ilvl w:val="0"/>
          <w:numId w:val="6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价格评议</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评标委员会对符合性审查合格的投标文件进行价格评议（</w:t>
      </w:r>
      <w:r>
        <w:rPr>
          <w:rFonts w:hint="eastAsia" w:ascii="宋体" w:hAnsi="宋体" w:eastAsia="宋体" w:cs="Times New Roman"/>
          <w:bCs/>
          <w:sz w:val="24"/>
          <w:szCs w:val="21"/>
          <w:lang w:val="zh-CN"/>
        </w:rPr>
        <w:t>执行国家统一定价标准和采用固定价格采购的项目，其价格不列为评审因素</w:t>
      </w:r>
      <w:r>
        <w:rPr>
          <w:rFonts w:hint="eastAsia" w:ascii="宋体" w:hAnsi="宋体" w:eastAsia="宋体" w:cs="Times New Roman"/>
          <w:bCs/>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67"/>
        </w:numPr>
        <w:adjustRightInd w:val="0"/>
        <w:spacing w:line="360" w:lineRule="auto"/>
        <w:ind w:left="742" w:hanging="493"/>
        <w:rPr>
          <w:rFonts w:ascii="宋体" w:hAnsi="宋体" w:eastAsia="宋体" w:cs="Times New Roman"/>
          <w:bCs/>
          <w:sz w:val="24"/>
          <w:szCs w:val="21"/>
          <w:lang w:val="zh-CN"/>
        </w:rPr>
      </w:pPr>
      <w:r>
        <w:rPr>
          <w:rFonts w:hint="eastAsia" w:ascii="宋体" w:hAnsi="宋体" w:eastAsia="宋体" w:cs="Times New Roman"/>
          <w:b/>
          <w:sz w:val="24"/>
          <w:szCs w:val="24"/>
          <w:lang w:val="zh-CN"/>
        </w:rPr>
        <w:t>报价合理性说明：</w:t>
      </w:r>
      <w:r>
        <w:rPr>
          <w:rFonts w:ascii="宋体" w:hAnsi="宋体" w:eastAsia="宋体" w:cs="Helvetica"/>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kern w:val="0"/>
          <w:sz w:val="24"/>
          <w:szCs w:val="24"/>
          <w:lang w:val="zh-CN"/>
        </w:rPr>
        <w:t>应当将其作为</w:t>
      </w:r>
      <w:r>
        <w:rPr>
          <w:rFonts w:ascii="宋体" w:hAnsi="宋体" w:eastAsia="宋体" w:cs="Helvetica"/>
          <w:b/>
          <w:bCs/>
          <w:kern w:val="0"/>
          <w:sz w:val="24"/>
          <w:szCs w:val="24"/>
          <w:lang w:val="zh-CN"/>
        </w:rPr>
        <w:t>无效投标处理。</w:t>
      </w:r>
    </w:p>
    <w:p>
      <w:pPr>
        <w:numPr>
          <w:ilvl w:val="0"/>
          <w:numId w:val="67"/>
        </w:numPr>
        <w:adjustRightInd w:val="0"/>
        <w:spacing w:line="360" w:lineRule="auto"/>
        <w:ind w:left="742" w:hanging="493"/>
        <w:rPr>
          <w:rFonts w:ascii="宋体" w:hAnsi="宋体" w:eastAsia="宋体" w:cs="Times New Roman"/>
          <w:b/>
          <w:sz w:val="24"/>
          <w:szCs w:val="24"/>
          <w:lang w:val="zh-CN"/>
        </w:rPr>
      </w:pPr>
      <w:r>
        <w:rPr>
          <w:rFonts w:hint="eastAsia" w:ascii="宋体" w:hAnsi="宋体" w:eastAsia="宋体" w:cs="Times New Roman"/>
          <w:b/>
          <w:sz w:val="24"/>
          <w:szCs w:val="24"/>
          <w:lang w:val="zh-CN"/>
        </w:rPr>
        <w:t>小型和微型企业、监狱企业、残疾人福利性单位价格扣除：</w:t>
      </w:r>
    </w:p>
    <w:p>
      <w:pPr>
        <w:numPr>
          <w:ilvl w:val="0"/>
          <w:numId w:val="6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非专门面向中小企业的工程、服务类采购项目，投标人是小型和微型企业的价格给予</w:t>
      </w:r>
      <w:r>
        <w:rPr>
          <w:rFonts w:hint="eastAsia" w:ascii="宋体" w:hAnsi="宋体" w:eastAsia="宋体" w:cs="Times New Roman"/>
          <w:b/>
          <w:bCs/>
          <w:sz w:val="24"/>
          <w:szCs w:val="20"/>
          <w:lang w:val="zh-CN"/>
        </w:rPr>
        <w:t>6%</w:t>
      </w:r>
      <w:r>
        <w:rPr>
          <w:rFonts w:hint="eastAsia" w:ascii="宋体" w:hAnsi="宋体" w:eastAsia="宋体" w:cs="Times New Roman"/>
          <w:bCs/>
          <w:sz w:val="24"/>
          <w:szCs w:val="20"/>
          <w:lang w:val="zh-CN"/>
        </w:rPr>
        <w:t>的扣除，用扣除后的价格参与评审。</w:t>
      </w:r>
    </w:p>
    <w:p>
      <w:pPr>
        <w:numPr>
          <w:ilvl w:val="0"/>
          <w:numId w:val="6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鼓励大中型企业和其他自然人</w:t>
      </w:r>
      <w:r>
        <w:rPr>
          <w:rFonts w:ascii="宋体" w:hAnsi="宋体" w:eastAsia="宋体" w:cs="Times New Roman"/>
          <w:bCs/>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sz w:val="24"/>
          <w:szCs w:val="20"/>
        </w:rPr>
        <w:t>30%</w:t>
      </w:r>
      <w:r>
        <w:rPr>
          <w:rFonts w:ascii="宋体" w:hAnsi="宋体" w:eastAsia="宋体" w:cs="Times New Roman"/>
          <w:bCs/>
          <w:sz w:val="24"/>
          <w:szCs w:val="20"/>
        </w:rPr>
        <w:t>以上的，可给予联合体</w:t>
      </w:r>
      <w:r>
        <w:rPr>
          <w:rFonts w:ascii="宋体" w:hAnsi="宋体" w:eastAsia="宋体" w:cs="Times New Roman"/>
          <w:b/>
          <w:bCs/>
          <w:sz w:val="24"/>
          <w:szCs w:val="20"/>
          <w:lang w:val="zh-CN"/>
        </w:rPr>
        <w:t>3%</w:t>
      </w:r>
      <w:r>
        <w:rPr>
          <w:rFonts w:ascii="宋体" w:hAnsi="宋体" w:eastAsia="宋体" w:cs="Times New Roman"/>
          <w:bCs/>
          <w:sz w:val="24"/>
          <w:szCs w:val="20"/>
        </w:rPr>
        <w:t>的价格扣除</w:t>
      </w:r>
      <w:r>
        <w:rPr>
          <w:rFonts w:hint="eastAsia" w:ascii="宋体" w:hAnsi="宋体" w:eastAsia="宋体" w:cs="Times New Roman"/>
          <w:bCs/>
          <w:sz w:val="24"/>
          <w:szCs w:val="20"/>
        </w:rPr>
        <w:t>，</w:t>
      </w:r>
      <w:r>
        <w:rPr>
          <w:rFonts w:hint="eastAsia" w:ascii="宋体" w:hAnsi="宋体" w:eastAsia="宋体" w:cs="Times New Roman"/>
          <w:bCs/>
          <w:sz w:val="24"/>
          <w:szCs w:val="20"/>
          <w:lang w:val="zh-CN"/>
        </w:rPr>
        <w:t>不重复享受政策。</w:t>
      </w:r>
    </w:p>
    <w:p>
      <w:pPr>
        <w:numPr>
          <w:ilvl w:val="0"/>
          <w:numId w:val="68"/>
        </w:numPr>
        <w:spacing w:line="360" w:lineRule="auto"/>
        <w:ind w:left="1134" w:hanging="756"/>
        <w:rPr>
          <w:rFonts w:ascii="宋体" w:hAnsi="宋体" w:eastAsia="宋体" w:cs="Times New Roman"/>
          <w:bCs/>
          <w:sz w:val="24"/>
          <w:szCs w:val="20"/>
          <w:lang w:val="zh-CN"/>
        </w:rPr>
      </w:pPr>
      <w:r>
        <w:rPr>
          <w:rFonts w:ascii="宋体" w:hAnsi="宋体" w:eastAsia="宋体" w:cs="Times New Roman"/>
          <w:bCs/>
          <w:sz w:val="24"/>
          <w:szCs w:val="20"/>
          <w:lang w:val="zh-CN"/>
        </w:rPr>
        <w:t>监狱企业</w:t>
      </w:r>
      <w:r>
        <w:rPr>
          <w:rFonts w:hint="eastAsia" w:ascii="宋体" w:hAnsi="宋体" w:eastAsia="宋体" w:cs="Times New Roman"/>
          <w:bCs/>
          <w:sz w:val="24"/>
          <w:szCs w:val="20"/>
          <w:lang w:val="zh-CN"/>
        </w:rPr>
        <w:t>、残疾人福利性单位</w:t>
      </w:r>
      <w:r>
        <w:rPr>
          <w:rFonts w:ascii="宋体" w:hAnsi="宋体" w:eastAsia="宋体" w:cs="Times New Roman"/>
          <w:bCs/>
          <w:sz w:val="24"/>
          <w:szCs w:val="20"/>
          <w:lang w:val="zh-CN"/>
        </w:rPr>
        <w:t>视同小型、微型企业，享受预留份额、评审中价格扣除等政府采购促进中小企业发展的政府采购政策</w:t>
      </w:r>
      <w:r>
        <w:rPr>
          <w:rFonts w:hint="eastAsia" w:ascii="宋体" w:hAnsi="宋体" w:eastAsia="宋体" w:cs="Times New Roman"/>
          <w:bCs/>
          <w:sz w:val="24"/>
          <w:szCs w:val="20"/>
          <w:lang w:val="zh-CN"/>
        </w:rPr>
        <w:t>，残疾人福利性单位属于小型、微型企业的，不重复享受政策。</w:t>
      </w:r>
    </w:p>
    <w:p>
      <w:pPr>
        <w:numPr>
          <w:ilvl w:val="0"/>
          <w:numId w:val="68"/>
        </w:numPr>
        <w:spacing w:line="360" w:lineRule="auto"/>
        <w:ind w:left="1134" w:hanging="756"/>
        <w:rPr>
          <w:rFonts w:ascii="宋体" w:hAnsi="宋体" w:eastAsia="宋体" w:cs="Times New Roman"/>
          <w:bCs/>
          <w:sz w:val="24"/>
          <w:szCs w:val="20"/>
          <w:lang w:val="zh-CN"/>
        </w:rPr>
      </w:pPr>
      <w:r>
        <w:rPr>
          <w:rFonts w:hint="eastAsia" w:ascii="宋体" w:hAnsi="宋体" w:eastAsia="宋体" w:cs="Times New Roman"/>
          <w:bCs/>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6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相同品牌处理原则</w:t>
      </w:r>
    </w:p>
    <w:p>
      <w:pPr>
        <w:numPr>
          <w:ilvl w:val="0"/>
          <w:numId w:val="69"/>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0D0D0D"/>
          <w:kern w:val="0"/>
          <w:sz w:val="24"/>
          <w:szCs w:val="24"/>
          <w:lang w:val="zh-CN"/>
        </w:rPr>
        <w:t>确定</w:t>
      </w:r>
      <w:r>
        <w:rPr>
          <w:rFonts w:ascii="Helvetica" w:hAnsi="Helvetica" w:eastAsia="宋体" w:cs="Helvetica"/>
          <w:color w:val="0D0D0D"/>
          <w:kern w:val="0"/>
          <w:sz w:val="24"/>
          <w:szCs w:val="24"/>
          <w:lang w:val="zh-CN"/>
        </w:rPr>
        <w:t>或者采购人委托评标委员会</w:t>
      </w:r>
      <w:r>
        <w:rPr>
          <w:rFonts w:hint="eastAsia" w:ascii="Helvetica" w:hAnsi="Helvetica" w:eastAsia="宋体" w:cs="Helvetica"/>
          <w:color w:val="0D0D0D"/>
          <w:kern w:val="0"/>
          <w:sz w:val="24"/>
          <w:szCs w:val="24"/>
          <w:lang w:val="zh-CN"/>
        </w:rPr>
        <w:t>以投票方式</w:t>
      </w:r>
      <w:r>
        <w:rPr>
          <w:rFonts w:ascii="Helvetica" w:hAnsi="Helvetica" w:eastAsia="宋体" w:cs="Helvetica"/>
          <w:color w:val="0D0D0D"/>
          <w:kern w:val="0"/>
          <w:sz w:val="24"/>
          <w:szCs w:val="24"/>
          <w:lang w:val="zh-CN"/>
        </w:rPr>
        <w:t>确定一个投标人获得中标人推荐资格，其他同品牌投标人不作为中标候选人。</w:t>
      </w:r>
    </w:p>
    <w:p>
      <w:pPr>
        <w:numPr>
          <w:ilvl w:val="0"/>
          <w:numId w:val="69"/>
        </w:numPr>
        <w:adjustRightInd w:val="0"/>
        <w:spacing w:line="360" w:lineRule="auto"/>
        <w:ind w:left="756" w:hanging="507"/>
        <w:rPr>
          <w:rFonts w:ascii="Helvetica" w:hAnsi="Helvetica" w:eastAsia="宋体" w:cs="Helvetica"/>
          <w:color w:val="0D0D0D"/>
          <w:kern w:val="0"/>
          <w:sz w:val="24"/>
          <w:szCs w:val="24"/>
          <w:lang w:val="zh-CN"/>
        </w:rPr>
      </w:pPr>
      <w:r>
        <w:rPr>
          <w:rFonts w:ascii="Helvetica" w:hAnsi="Helvetica" w:eastAsia="宋体" w:cs="Helvetica"/>
          <w:color w:val="0D0D0D"/>
          <w:kern w:val="0"/>
          <w:sz w:val="24"/>
          <w:szCs w:val="24"/>
          <w:lang w:val="zh-CN"/>
        </w:rPr>
        <w:t>非单一产品采购项目，采购人</w:t>
      </w:r>
      <w:r>
        <w:rPr>
          <w:rFonts w:ascii="Helvetica" w:hAnsi="Helvetica" w:eastAsia="宋体" w:cs="Helvetica"/>
          <w:kern w:val="0"/>
          <w:sz w:val="24"/>
          <w:szCs w:val="24"/>
          <w:lang w:val="zh-CN"/>
        </w:rPr>
        <w:t>应当根据采购</w:t>
      </w:r>
      <w:r>
        <w:rPr>
          <w:rFonts w:hint="eastAsia" w:ascii="Helvetica" w:hAnsi="Helvetica" w:eastAsia="宋体" w:cs="Helvetica"/>
          <w:kern w:val="0"/>
          <w:sz w:val="24"/>
          <w:szCs w:val="24"/>
          <w:lang w:val="zh-CN"/>
        </w:rPr>
        <w:t>项目内容</w:t>
      </w:r>
      <w:r>
        <w:rPr>
          <w:rFonts w:ascii="Helvetica" w:hAnsi="Helvetica" w:eastAsia="宋体" w:cs="Helvetica"/>
          <w:kern w:val="0"/>
          <w:sz w:val="24"/>
          <w:szCs w:val="24"/>
          <w:lang w:val="zh-CN"/>
        </w:rPr>
        <w:t>构成、产品价格比重等合理确定</w:t>
      </w:r>
      <w:r>
        <w:rPr>
          <w:rFonts w:hint="eastAsia" w:ascii="Helvetica" w:hAnsi="Helvetica" w:eastAsia="宋体" w:cs="Helvetica"/>
          <w:b/>
          <w:kern w:val="0"/>
          <w:sz w:val="24"/>
          <w:szCs w:val="24"/>
          <w:lang w:val="zh-CN"/>
        </w:rPr>
        <w:t>一个</w:t>
      </w:r>
      <w:r>
        <w:rPr>
          <w:rFonts w:ascii="Helvetica" w:hAnsi="Helvetica" w:eastAsia="宋体" w:cs="Helvetica"/>
          <w:b/>
          <w:kern w:val="0"/>
          <w:sz w:val="24"/>
          <w:szCs w:val="24"/>
          <w:lang w:val="zh-CN"/>
        </w:rPr>
        <w:t>核心产品</w:t>
      </w:r>
      <w:r>
        <w:rPr>
          <w:rFonts w:hint="eastAsia" w:ascii="Helvetica" w:hAnsi="Helvetica" w:eastAsia="宋体" w:cs="Helvetica"/>
          <w:bCs/>
          <w:kern w:val="0"/>
          <w:sz w:val="24"/>
          <w:szCs w:val="24"/>
          <w:lang w:val="zh-CN"/>
        </w:rPr>
        <w:t>（</w:t>
      </w:r>
      <w:r>
        <w:rPr>
          <w:rFonts w:hint="eastAsia" w:ascii="Helvetica" w:hAnsi="Helvetica" w:eastAsia="宋体" w:cs="Helvetica"/>
          <w:bCs/>
          <w:color w:val="0D0D0D"/>
          <w:kern w:val="0"/>
          <w:sz w:val="24"/>
          <w:szCs w:val="24"/>
          <w:lang w:val="zh-CN"/>
        </w:rPr>
        <w:t>采购清单中作“相同〈或同一〉品牌”实质性要求的产品，视为一个核心产品</w:t>
      </w:r>
      <w:r>
        <w:rPr>
          <w:rFonts w:hint="eastAsia" w:ascii="Helvetica" w:hAnsi="Helvetica" w:eastAsia="宋体" w:cs="Helvetica"/>
          <w:bCs/>
          <w:kern w:val="0"/>
          <w:sz w:val="24"/>
          <w:szCs w:val="24"/>
          <w:lang w:val="zh-CN"/>
        </w:rPr>
        <w:t>）</w:t>
      </w:r>
      <w:r>
        <w:rPr>
          <w:rFonts w:hint="eastAsia" w:ascii="Helvetica" w:hAnsi="Helvetica" w:eastAsia="宋体" w:cs="Helvetica"/>
          <w:bCs/>
          <w:color w:val="0D0D0D"/>
          <w:kern w:val="0"/>
          <w:sz w:val="24"/>
          <w:szCs w:val="24"/>
          <w:lang w:val="zh-CN"/>
        </w:rPr>
        <w:t>，</w:t>
      </w:r>
      <w:r>
        <w:rPr>
          <w:rFonts w:ascii="Helvetica" w:hAnsi="Helvetica" w:eastAsia="宋体" w:cs="Helvetica"/>
          <w:bCs/>
          <w:kern w:val="0"/>
          <w:sz w:val="24"/>
          <w:szCs w:val="24"/>
          <w:lang w:val="zh-CN"/>
        </w:rPr>
        <w:t>并</w:t>
      </w:r>
      <w:r>
        <w:rPr>
          <w:rFonts w:hint="eastAsia" w:ascii="Helvetica" w:hAnsi="Helvetica" w:eastAsia="宋体" w:cs="Helvetica"/>
          <w:bCs/>
          <w:kern w:val="0"/>
          <w:sz w:val="24"/>
          <w:szCs w:val="24"/>
          <w:lang w:val="zh-CN"/>
        </w:rPr>
        <w:t>以</w:t>
      </w:r>
      <w:r>
        <w:rPr>
          <w:rFonts w:hint="eastAsia" w:ascii="Helvetica" w:hAnsi="Helvetica" w:eastAsia="宋体" w:cs="Helvetica"/>
          <w:b/>
          <w:kern w:val="0"/>
          <w:sz w:val="24"/>
          <w:szCs w:val="24"/>
          <w:lang w:val="zh-CN"/>
        </w:rPr>
        <w:t>“</w:t>
      </w:r>
      <w:r>
        <w:rPr>
          <w:rFonts w:hint="eastAsia" w:ascii="MS Gothic" w:hAnsi="MS Gothic" w:eastAsia="宋体" w:cs="MS Gothic"/>
          <w:b/>
          <w:kern w:val="0"/>
          <w:sz w:val="24"/>
          <w:szCs w:val="24"/>
          <w:lang w:val="zh-CN"/>
        </w:rPr>
        <w:t>核心产品</w:t>
      </w:r>
      <w:r>
        <w:rPr>
          <w:rFonts w:hint="eastAsia" w:ascii="Helvetica" w:hAnsi="Helvetica" w:eastAsia="宋体" w:cs="Helvetica"/>
          <w:b/>
          <w:kern w:val="0"/>
          <w:sz w:val="24"/>
          <w:szCs w:val="24"/>
          <w:lang w:val="zh-CN"/>
        </w:rPr>
        <w:t>”</w:t>
      </w:r>
      <w:r>
        <w:rPr>
          <w:rFonts w:ascii="Helvetica" w:hAnsi="Helvetica" w:eastAsia="宋体" w:cs="Helvetica"/>
          <w:bCs/>
          <w:kern w:val="0"/>
          <w:sz w:val="24"/>
          <w:szCs w:val="24"/>
          <w:lang w:val="zh-CN"/>
        </w:rPr>
        <w:t>在</w:t>
      </w:r>
      <w:r>
        <w:rPr>
          <w:rFonts w:ascii="Helvetica" w:hAnsi="Helvetica" w:eastAsia="宋体" w:cs="Helvetica"/>
          <w:color w:val="0D0D0D"/>
          <w:kern w:val="0"/>
          <w:sz w:val="24"/>
          <w:szCs w:val="24"/>
          <w:lang w:val="zh-CN"/>
        </w:rPr>
        <w:t>招标文件中</w:t>
      </w:r>
      <w:r>
        <w:rPr>
          <w:rFonts w:hint="eastAsia" w:ascii="Helvetica" w:hAnsi="Helvetica" w:eastAsia="宋体" w:cs="Helvetica"/>
          <w:color w:val="0D0D0D"/>
          <w:kern w:val="0"/>
          <w:sz w:val="24"/>
          <w:szCs w:val="24"/>
          <w:lang w:val="zh-CN"/>
        </w:rPr>
        <w:t>标注</w:t>
      </w:r>
      <w:r>
        <w:rPr>
          <w:rFonts w:ascii="Helvetica" w:hAnsi="Helvetica" w:eastAsia="宋体" w:cs="Helvetica"/>
          <w:color w:val="0D0D0D"/>
          <w:kern w:val="0"/>
          <w:sz w:val="24"/>
          <w:szCs w:val="24"/>
          <w:lang w:val="zh-CN"/>
        </w:rPr>
        <w:t>。</w:t>
      </w:r>
    </w:p>
    <w:p>
      <w:pPr>
        <w:numPr>
          <w:ilvl w:val="0"/>
          <w:numId w:val="66"/>
        </w:numPr>
        <w:tabs>
          <w:tab w:val="left" w:pos="616"/>
        </w:tabs>
        <w:spacing w:line="360" w:lineRule="auto"/>
        <w:ind w:left="10" w:leftChars="5" w:firstLine="237" w:firstLineChars="99"/>
        <w:rPr>
          <w:rFonts w:ascii="宋体" w:hAnsi="宋体" w:eastAsia="宋体" w:cs="Times New Roman"/>
          <w:b/>
          <w:bCs/>
          <w:sz w:val="24"/>
          <w:szCs w:val="20"/>
          <w:lang w:val="zh-CN"/>
        </w:rPr>
      </w:pPr>
      <w:r>
        <w:rPr>
          <w:rFonts w:hint="eastAsia" w:ascii="宋体" w:hAnsi="宋体" w:eastAsia="宋体" w:cs="Times New Roman"/>
          <w:b/>
          <w:bCs/>
          <w:sz w:val="24"/>
          <w:szCs w:val="20"/>
          <w:lang w:val="zh-CN"/>
        </w:rPr>
        <w:t>计分办法</w:t>
      </w:r>
    </w:p>
    <w:p>
      <w:pPr>
        <w:numPr>
          <w:ilvl w:val="0"/>
          <w:numId w:val="70"/>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采购代理机构对各评委的总分进行复核。各项统计结果均精确到小数点后两位。</w:t>
      </w:r>
    </w:p>
    <w:p>
      <w:pPr>
        <w:numPr>
          <w:ilvl w:val="0"/>
          <w:numId w:val="70"/>
        </w:numPr>
        <w:adjustRightInd w:val="0"/>
        <w:spacing w:line="360" w:lineRule="auto"/>
        <w:ind w:left="756" w:hanging="507"/>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各投标人的最终得分为评委所评定分数的算术平均值。</w:t>
      </w:r>
    </w:p>
    <w:p>
      <w:pPr>
        <w:numPr>
          <w:ilvl w:val="0"/>
          <w:numId w:val="62"/>
        </w:numPr>
        <w:ind w:left="1311" w:leftChars="154" w:hanging="988" w:hangingChars="353"/>
        <w:rPr>
          <w:rFonts w:ascii="宋体" w:hAnsi="宋体" w:eastAsia="宋体" w:cs="Times New Roman"/>
          <w:b/>
          <w:sz w:val="28"/>
          <w:szCs w:val="28"/>
          <w:lang w:val="zh-CN"/>
        </w:rPr>
      </w:pPr>
      <w:r>
        <w:rPr>
          <w:rFonts w:hint="eastAsia" w:ascii="宋体" w:hAnsi="宋体" w:eastAsia="宋体" w:cs="Times New Roman"/>
          <w:b/>
          <w:sz w:val="28"/>
          <w:szCs w:val="28"/>
          <w:lang w:val="zh-CN"/>
        </w:rPr>
        <w:t>推荐中标候选人名单或确定中标人</w:t>
      </w:r>
    </w:p>
    <w:p>
      <w:pPr>
        <w:numPr>
          <w:ilvl w:val="0"/>
          <w:numId w:val="7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评标委员会按照招标文件确定的评标方法、程序及标准，对投标文件进行评审。</w:t>
      </w:r>
      <w:r>
        <w:rPr>
          <w:rFonts w:ascii="Helvetica" w:hAnsi="Helvetica" w:eastAsia="宋体" w:cs="Helvetica"/>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7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7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中标候选人并列的，</w:t>
      </w:r>
      <w:r>
        <w:rPr>
          <w:rFonts w:ascii="Helvetica" w:hAnsi="Helvetica" w:eastAsia="宋体" w:cs="Helvetica"/>
          <w:kern w:val="0"/>
          <w:sz w:val="24"/>
          <w:szCs w:val="24"/>
          <w:lang w:val="zh-CN"/>
        </w:rPr>
        <w:t>由采购人</w:t>
      </w:r>
      <w:r>
        <w:rPr>
          <w:rFonts w:hint="eastAsia" w:ascii="Helvetica" w:hAnsi="Helvetica" w:eastAsia="宋体" w:cs="Helvetica"/>
          <w:kern w:val="0"/>
          <w:sz w:val="24"/>
          <w:szCs w:val="24"/>
          <w:lang w:val="zh-CN"/>
        </w:rPr>
        <w:t>确定</w:t>
      </w:r>
      <w:r>
        <w:rPr>
          <w:rFonts w:ascii="Helvetica" w:hAnsi="Helvetica" w:eastAsia="宋体" w:cs="Helvetica"/>
          <w:kern w:val="0"/>
          <w:sz w:val="24"/>
          <w:szCs w:val="24"/>
          <w:lang w:val="zh-CN"/>
        </w:rPr>
        <w:t>或者采购人委托评标委员会</w:t>
      </w:r>
      <w:r>
        <w:rPr>
          <w:rFonts w:hint="eastAsia" w:ascii="Helvetica" w:hAnsi="Helvetica" w:eastAsia="宋体" w:cs="Helvetica"/>
          <w:kern w:val="0"/>
          <w:sz w:val="24"/>
          <w:szCs w:val="24"/>
          <w:lang w:val="zh-CN"/>
        </w:rPr>
        <w:t>以投票方式</w:t>
      </w:r>
      <w:r>
        <w:rPr>
          <w:rFonts w:ascii="Helvetica" w:hAnsi="Helvetica" w:eastAsia="宋体" w:cs="Helvetica"/>
          <w:kern w:val="0"/>
          <w:sz w:val="24"/>
          <w:szCs w:val="24"/>
          <w:lang w:val="zh-CN"/>
        </w:rPr>
        <w:t>确定中标人。</w:t>
      </w:r>
    </w:p>
    <w:p>
      <w:pPr>
        <w:numPr>
          <w:ilvl w:val="0"/>
          <w:numId w:val="7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71"/>
        </w:numPr>
        <w:tabs>
          <w:tab w:val="left" w:pos="616"/>
        </w:tabs>
        <w:spacing w:line="360" w:lineRule="auto"/>
        <w:ind w:left="10" w:leftChars="5" w:firstLine="237" w:firstLineChars="99"/>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中标人的数量有其他规定的，应在此处明确方法、中标比例等。</w:t>
      </w:r>
    </w:p>
    <w:p>
      <w:pPr>
        <w:tabs>
          <w:tab w:val="left" w:pos="616"/>
        </w:tabs>
        <w:spacing w:line="360" w:lineRule="auto"/>
        <w:ind w:left="248"/>
        <w:rPr>
          <w:rFonts w:ascii="Helvetica" w:hAnsi="Helvetica" w:eastAsia="宋体" w:cs="Helvetica"/>
          <w:kern w:val="0"/>
          <w:sz w:val="24"/>
          <w:szCs w:val="24"/>
          <w:lang w:val="zh-CN"/>
        </w:rPr>
      </w:pPr>
    </w:p>
    <w:p>
      <w:pPr>
        <w:tabs>
          <w:tab w:val="left" w:pos="616"/>
        </w:tabs>
        <w:spacing w:line="360" w:lineRule="auto"/>
        <w:ind w:left="248"/>
        <w:rPr>
          <w:rFonts w:ascii="Helvetica" w:hAnsi="Helvetica" w:eastAsia="宋体" w:cs="Helvetica"/>
          <w:kern w:val="0"/>
          <w:sz w:val="24"/>
          <w:szCs w:val="24"/>
          <w:lang w:val="zh-CN"/>
        </w:rPr>
      </w:pPr>
    </w:p>
    <w:p>
      <w:pPr>
        <w:tabs>
          <w:tab w:val="left" w:pos="616"/>
        </w:tabs>
        <w:spacing w:line="360" w:lineRule="auto"/>
        <w:ind w:left="248"/>
        <w:rPr>
          <w:rFonts w:ascii="Helvetica" w:hAnsi="Helvetica" w:eastAsia="宋体" w:cs="Helvetica"/>
          <w:kern w:val="0"/>
          <w:sz w:val="24"/>
          <w:szCs w:val="24"/>
          <w:lang w:val="zh-CN"/>
        </w:rPr>
      </w:pPr>
    </w:p>
    <w:p>
      <w:pPr>
        <w:tabs>
          <w:tab w:val="left" w:pos="616"/>
        </w:tabs>
        <w:spacing w:line="360" w:lineRule="auto"/>
        <w:ind w:left="248"/>
        <w:rPr>
          <w:rFonts w:ascii="Helvetica" w:hAnsi="Helvetica" w:eastAsia="宋体" w:cs="Helvetica"/>
          <w:kern w:val="0"/>
          <w:sz w:val="24"/>
          <w:szCs w:val="24"/>
          <w:lang w:val="zh-CN"/>
        </w:rPr>
      </w:pPr>
    </w:p>
    <w:p>
      <w:pPr>
        <w:tabs>
          <w:tab w:val="left" w:pos="616"/>
        </w:tabs>
        <w:spacing w:line="360" w:lineRule="auto"/>
        <w:ind w:left="248"/>
        <w:rPr>
          <w:rFonts w:ascii="Helvetica" w:hAnsi="Helvetica" w:eastAsia="宋体" w:cs="Helvetica"/>
          <w:kern w:val="0"/>
          <w:sz w:val="24"/>
          <w:szCs w:val="24"/>
          <w:lang w:val="zh-CN"/>
        </w:rPr>
      </w:pPr>
    </w:p>
    <w:p>
      <w:pPr>
        <w:tabs>
          <w:tab w:val="left" w:pos="616"/>
        </w:tabs>
        <w:spacing w:line="360" w:lineRule="auto"/>
        <w:ind w:left="248"/>
        <w:rPr>
          <w:rFonts w:ascii="Helvetica" w:hAnsi="Helvetica" w:eastAsia="宋体" w:cs="Helvetica"/>
          <w:kern w:val="0"/>
          <w:sz w:val="24"/>
          <w:szCs w:val="24"/>
          <w:lang w:val="zh-CN"/>
        </w:rPr>
      </w:pPr>
    </w:p>
    <w:p>
      <w:pPr>
        <w:pStyle w:val="3"/>
        <w:numPr>
          <w:ilvl w:val="0"/>
          <w:numId w:val="61"/>
        </w:numPr>
        <w:spacing w:before="0" w:after="0" w:line="360" w:lineRule="auto"/>
        <w:ind w:left="616" w:hanging="616"/>
        <w:jc w:val="center"/>
        <w:rPr>
          <w:rFonts w:cs="Times New Roman" w:asciiTheme="majorEastAsia" w:hAnsiTheme="majorEastAsia"/>
          <w:bCs w:val="0"/>
          <w:sz w:val="30"/>
          <w:szCs w:val="30"/>
          <w:highlight w:val="none"/>
          <w:lang w:val="zh-CN"/>
        </w:rPr>
      </w:pPr>
      <w:bookmarkStart w:id="68" w:name="_Toc494561963"/>
      <w:bookmarkStart w:id="69" w:name="_Toc48230908"/>
      <w:r>
        <w:rPr>
          <w:rFonts w:hint="eastAsia" w:cs="Times New Roman" w:asciiTheme="majorEastAsia" w:hAnsiTheme="majorEastAsia"/>
          <w:bCs w:val="0"/>
          <w:sz w:val="30"/>
          <w:szCs w:val="30"/>
          <w:highlight w:val="none"/>
          <w:lang w:val="zh-CN"/>
        </w:rPr>
        <w:t>评审因素及评分标准</w:t>
      </w:r>
      <w:bookmarkEnd w:id="68"/>
      <w:bookmarkEnd w:id="69"/>
    </w:p>
    <w:tbl>
      <w:tblPr>
        <w:tblStyle w:val="16"/>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98"/>
        <w:gridCol w:w="667"/>
        <w:gridCol w:w="658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11" w:type="dxa"/>
            <w:vMerge w:val="restart"/>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bCs/>
                <w:color w:val="000000" w:themeColor="text1"/>
                <w:sz w:val="28"/>
                <w:szCs w:val="28"/>
              </w:rPr>
              <w:t>商务评议</w:t>
            </w:r>
          </w:p>
        </w:tc>
        <w:tc>
          <w:tcPr>
            <w:tcW w:w="1198" w:type="dxa"/>
            <w:shd w:val="pct10" w:color="auto" w:fill="auto"/>
            <w:vAlign w:val="center"/>
          </w:tcPr>
          <w:p>
            <w:pPr>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评审因素</w:t>
            </w:r>
          </w:p>
        </w:tc>
        <w:tc>
          <w:tcPr>
            <w:tcW w:w="667" w:type="dxa"/>
            <w:shd w:val="pct10" w:color="auto" w:fill="auto"/>
            <w:vAlign w:val="center"/>
          </w:tcPr>
          <w:p>
            <w:pPr>
              <w:ind w:left="-73" w:leftChars="-35" w:right="-79" w:rightChars="-38"/>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分值</w:t>
            </w:r>
          </w:p>
        </w:tc>
        <w:tc>
          <w:tcPr>
            <w:tcW w:w="6583" w:type="dxa"/>
            <w:shd w:val="pct10" w:color="auto" w:fill="auto"/>
            <w:vAlign w:val="center"/>
          </w:tcPr>
          <w:p>
            <w:pPr>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评分标准</w:t>
            </w:r>
          </w:p>
        </w:tc>
        <w:tc>
          <w:tcPr>
            <w:tcW w:w="814" w:type="dxa"/>
            <w:shd w:val="pct10" w:color="auto" w:fill="auto"/>
            <w:vAlign w:val="center"/>
          </w:tcPr>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因素</w:t>
            </w:r>
          </w:p>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611" w:type="dxa"/>
            <w:vMerge w:val="continue"/>
            <w:vAlign w:val="center"/>
          </w:tcPr>
          <w:p>
            <w:pPr>
              <w:numPr>
                <w:ilvl w:val="0"/>
                <w:numId w:val="72"/>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投标文件的完整性</w:t>
            </w:r>
          </w:p>
        </w:tc>
        <w:tc>
          <w:tcPr>
            <w:tcW w:w="667"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w:t>
            </w:r>
          </w:p>
        </w:tc>
        <w:tc>
          <w:tcPr>
            <w:tcW w:w="6583" w:type="dxa"/>
            <w:vAlign w:val="center"/>
          </w:tcPr>
          <w:p>
            <w:pPr>
              <w:adjustRightInd w:val="0"/>
              <w:snapToGrid w:val="0"/>
              <w:spacing w:before="100" w:beforeAutospacing="1" w:after="100" w:afterAutospacing="1"/>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文件全面响应招标文件要求，编制完整、非活页装订，且有详细目录、连续页码、目录与有关材料装订顺序对应清晰、查阅方便得2分。编排杂乱无章、叙述答非所问、资料残缺不全、资料模糊不清、前后不一致等，每处扣0.5分，扣完为止，活页装订不得分。</w:t>
            </w:r>
          </w:p>
        </w:tc>
        <w:tc>
          <w:tcPr>
            <w:tcW w:w="814"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1" w:type="dxa"/>
            <w:vMerge w:val="continue"/>
            <w:vAlign w:val="center"/>
          </w:tcPr>
          <w:p>
            <w:pPr>
              <w:numPr>
                <w:ilvl w:val="0"/>
                <w:numId w:val="72"/>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spacing w:line="32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类似项目业绩</w:t>
            </w:r>
          </w:p>
        </w:tc>
        <w:tc>
          <w:tcPr>
            <w:tcW w:w="667" w:type="dxa"/>
            <w:vAlign w:val="center"/>
          </w:tcPr>
          <w:p>
            <w:pPr>
              <w:spacing w:line="32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20</w:t>
            </w:r>
          </w:p>
        </w:tc>
        <w:tc>
          <w:tcPr>
            <w:tcW w:w="6583" w:type="dxa"/>
            <w:vAlign w:val="center"/>
          </w:tcPr>
          <w:p>
            <w:pPr>
              <w:spacing w:line="320" w:lineRule="exact"/>
              <w:jc w:val="left"/>
              <w:rPr>
                <w:rFonts w:ascii="宋体" w:hAnsi="宋体" w:eastAsia="宋体" w:cs="Times New Roman"/>
                <w:color w:val="000000" w:themeColor="text1"/>
                <w:sz w:val="24"/>
                <w:szCs w:val="24"/>
                <w:highlight w:val="yellow"/>
              </w:rPr>
            </w:pPr>
            <w:r>
              <w:rPr>
                <w:rFonts w:hint="eastAsia" w:ascii="宋体" w:hAnsi="宋体" w:eastAsia="宋体" w:cs="Times New Roman"/>
                <w:sz w:val="24"/>
                <w:szCs w:val="24"/>
                <w:highlight w:val="none"/>
              </w:rPr>
              <w:t>投标人2016年1月至今具有类似项目业绩，每提供一项得2分</w:t>
            </w:r>
            <w:r>
              <w:rPr>
                <w:rFonts w:hint="eastAsia" w:ascii="宋体" w:hAnsi="宋体" w:eastAsia="宋体" w:cs="Times New Roman"/>
                <w:sz w:val="24"/>
                <w:szCs w:val="24"/>
                <w:highlight w:val="none"/>
                <w:lang w:eastAsia="zh-CN"/>
              </w:rPr>
              <w:t>。</w:t>
            </w:r>
            <w:r>
              <w:rPr>
                <w:rFonts w:hint="eastAsia" w:ascii="宋体" w:hAnsi="宋体" w:eastAsia="宋体" w:cs="Times New Roman"/>
                <w:sz w:val="24"/>
                <w:szCs w:val="24"/>
                <w:highlight w:val="none"/>
                <w:lang w:val="en-US" w:eastAsia="zh-CN"/>
              </w:rPr>
              <w:t>本项</w:t>
            </w:r>
            <w:r>
              <w:rPr>
                <w:rFonts w:hint="eastAsia" w:ascii="宋体" w:hAnsi="宋体" w:eastAsia="宋体" w:cs="Times New Roman"/>
                <w:sz w:val="24"/>
                <w:szCs w:val="24"/>
                <w:highlight w:val="none"/>
              </w:rPr>
              <w:t>最高得20分。（</w:t>
            </w:r>
            <w:r>
              <w:rPr>
                <w:rFonts w:hint="eastAsia" w:ascii="宋体" w:hAnsi="宋体" w:eastAsia="宋体" w:cs="Times New Roman"/>
                <w:sz w:val="24"/>
                <w:szCs w:val="24"/>
              </w:rPr>
              <w:t>需提供采购合同或委托书或中标通知书等证明文件复印件并加盖公章，未提供或不符合要求不得分）。</w:t>
            </w:r>
          </w:p>
        </w:tc>
        <w:tc>
          <w:tcPr>
            <w:tcW w:w="814"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1" w:type="dxa"/>
            <w:vMerge w:val="continue"/>
            <w:vAlign w:val="center"/>
          </w:tcPr>
          <w:p>
            <w:pPr>
              <w:numPr>
                <w:ilvl w:val="0"/>
                <w:numId w:val="72"/>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spacing w:line="32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投标人综合实力</w:t>
            </w:r>
          </w:p>
        </w:tc>
        <w:tc>
          <w:tcPr>
            <w:tcW w:w="667" w:type="dxa"/>
            <w:vAlign w:val="center"/>
          </w:tcPr>
          <w:p>
            <w:pPr>
              <w:spacing w:line="32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13</w:t>
            </w:r>
          </w:p>
        </w:tc>
        <w:tc>
          <w:tcPr>
            <w:tcW w:w="6583" w:type="dxa"/>
            <w:vAlign w:val="center"/>
          </w:tcPr>
          <w:p>
            <w:pPr>
              <w:spacing w:line="320" w:lineRule="exact"/>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1.投标人为高新技术企业或拥有省级重点实验室得2分；</w:t>
            </w:r>
          </w:p>
          <w:p>
            <w:pPr>
              <w:spacing w:line="320" w:lineRule="exact"/>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2.投标人获得质量管理体系认证证书、环境管理体系认证证书、职业健康安全管理体系认证证书的，每一项得2分，最高得6分；</w:t>
            </w:r>
          </w:p>
          <w:p>
            <w:pPr>
              <w:spacing w:line="320" w:lineRule="exact"/>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3.投标人具有专业评信机构评定AAA信用等级证书的得5分，具有AA 信用等级证书的得3 分，具有A 级信用等级证书的得1 分。</w:t>
            </w:r>
          </w:p>
          <w:p>
            <w:pPr>
              <w:spacing w:line="320" w:lineRule="exact"/>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（以上均需提供有效期内证书复印件并加盖公章，未提供或不符合要求不得分）。</w:t>
            </w:r>
          </w:p>
        </w:tc>
        <w:tc>
          <w:tcPr>
            <w:tcW w:w="814"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611" w:type="dxa"/>
            <w:vMerge w:val="continue"/>
            <w:vAlign w:val="center"/>
          </w:tcPr>
          <w:p>
            <w:pPr>
              <w:numPr>
                <w:ilvl w:val="0"/>
                <w:numId w:val="72"/>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spacing w:line="32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环保部门考核情况</w:t>
            </w:r>
          </w:p>
        </w:tc>
        <w:tc>
          <w:tcPr>
            <w:tcW w:w="667" w:type="dxa"/>
            <w:vAlign w:val="center"/>
          </w:tcPr>
          <w:p>
            <w:pPr>
              <w:spacing w:line="32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w:t>
            </w:r>
          </w:p>
        </w:tc>
        <w:tc>
          <w:tcPr>
            <w:tcW w:w="6583" w:type="dxa"/>
            <w:vAlign w:val="center"/>
          </w:tcPr>
          <w:p>
            <w:pPr>
              <w:spacing w:line="320" w:lineRule="exact"/>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投标人2016年1月至今获得省级及以上环保部门考核优秀一次得2分；获得市级环保部门考核优秀一次得1分。</w:t>
            </w:r>
            <w:r>
              <w:rPr>
                <w:rFonts w:hint="eastAsia" w:ascii="宋体" w:hAnsi="宋体" w:eastAsia="宋体" w:cs="Times New Roman"/>
                <w:sz w:val="24"/>
                <w:szCs w:val="24"/>
              </w:rPr>
              <w:t>本项最高得5分。</w:t>
            </w:r>
          </w:p>
          <w:p>
            <w:pPr>
              <w:spacing w:line="320" w:lineRule="exact"/>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（需提供颁奖文件复印件或环保部门官方网站相关信息公示截图等证明材料并加盖公章）。</w:t>
            </w:r>
          </w:p>
        </w:tc>
        <w:tc>
          <w:tcPr>
            <w:tcW w:w="814"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1" w:type="dxa"/>
            <w:vMerge w:val="continue"/>
            <w:vAlign w:val="center"/>
          </w:tcPr>
          <w:p>
            <w:pPr>
              <w:numPr>
                <w:ilvl w:val="0"/>
                <w:numId w:val="72"/>
              </w:numPr>
              <w:tabs>
                <w:tab w:val="left" w:pos="322"/>
              </w:tabs>
              <w:spacing w:line="320" w:lineRule="exact"/>
              <w:ind w:left="-42" w:right="-42" w:rightChars="-20" w:firstLine="0"/>
              <w:jc w:val="right"/>
              <w:rPr>
                <w:rFonts w:ascii="宋体" w:hAnsi="宋体" w:eastAsia="宋体" w:cs="Times New Roman"/>
                <w:b/>
                <w:color w:val="000000" w:themeColor="text1"/>
                <w:sz w:val="24"/>
              </w:rPr>
            </w:pPr>
          </w:p>
        </w:tc>
        <w:tc>
          <w:tcPr>
            <w:tcW w:w="1198" w:type="dxa"/>
            <w:vAlign w:val="center"/>
          </w:tcPr>
          <w:p>
            <w:pPr>
              <w:spacing w:line="320" w:lineRule="exac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人员配置</w:t>
            </w:r>
          </w:p>
        </w:tc>
        <w:tc>
          <w:tcPr>
            <w:tcW w:w="667" w:type="dxa"/>
            <w:vAlign w:val="center"/>
          </w:tcPr>
          <w:p>
            <w:pPr>
              <w:spacing w:line="320" w:lineRule="exact"/>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10</w:t>
            </w:r>
          </w:p>
        </w:tc>
        <w:tc>
          <w:tcPr>
            <w:tcW w:w="6583" w:type="dxa"/>
            <w:vAlign w:val="center"/>
          </w:tcPr>
          <w:p>
            <w:pPr>
              <w:spacing w:line="320" w:lineRule="exact"/>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拟投入本项目的工作人员具备相关专业正高级职称，每一人得2分，最多得6分；拟投入本项目的工作人员具备相关专业高级（含副高）职称，每一人得1分，最多得3分；拟投入本项目的工作人员具备相关专业中级职称，每一人得0.5分，最高得1分。</w:t>
            </w:r>
            <w:r>
              <w:rPr>
                <w:rFonts w:hint="eastAsia" w:ascii="宋体" w:hAnsi="宋体" w:eastAsia="宋体" w:cs="Times New Roman"/>
                <w:sz w:val="24"/>
                <w:szCs w:val="24"/>
              </w:rPr>
              <w:t>本项最高得10分。</w:t>
            </w:r>
          </w:p>
          <w:p>
            <w:pPr>
              <w:spacing w:line="320" w:lineRule="exact"/>
              <w:jc w:val="left"/>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（以上所有人员应为本单位员工，提供齐全的人员名单，近三个月的社保缴纳证明，专业技术职称复印件并加盖公章，提供不齐全该条不得分）。</w:t>
            </w:r>
          </w:p>
        </w:tc>
        <w:tc>
          <w:tcPr>
            <w:tcW w:w="814" w:type="dxa"/>
            <w:vAlign w:val="center"/>
          </w:tcPr>
          <w:p>
            <w:pPr>
              <w:spacing w:line="320" w:lineRule="exact"/>
              <w:ind w:left="-65" w:leftChars="-31" w:right="-35" w:rightChars="-17"/>
              <w:jc w:val="right"/>
              <w:rPr>
                <w:rFonts w:ascii="宋体" w:hAnsi="宋体" w:eastAsia="宋体" w:cs="Times New Roman"/>
                <w:b/>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476" w:type="dxa"/>
            <w:gridSpan w:val="3"/>
            <w:vAlign w:val="center"/>
          </w:tcPr>
          <w:p>
            <w:pPr>
              <w:spacing w:line="320" w:lineRule="exact"/>
              <w:ind w:left="-48" w:leftChars="-23" w:right="-35" w:rightChars="-17"/>
              <w:jc w:val="center"/>
              <w:rPr>
                <w:rFonts w:ascii="宋体" w:hAnsi="宋体" w:eastAsia="宋体" w:cs="Times New Roman"/>
                <w:b/>
                <w:color w:val="FF0000"/>
                <w:sz w:val="24"/>
              </w:rPr>
            </w:pPr>
            <w:r>
              <w:rPr>
                <w:rFonts w:hint="eastAsia" w:ascii="宋体" w:hAnsi="宋体" w:eastAsia="宋体" w:cs="Times New Roman"/>
                <w:b/>
                <w:color w:val="FF0000"/>
                <w:sz w:val="24"/>
              </w:rPr>
              <w:t>商务分合计</w:t>
            </w:r>
          </w:p>
        </w:tc>
        <w:tc>
          <w:tcPr>
            <w:tcW w:w="7397" w:type="dxa"/>
            <w:gridSpan w:val="2"/>
            <w:vAlign w:val="center"/>
          </w:tcPr>
          <w:p>
            <w:pPr>
              <w:spacing w:line="320" w:lineRule="exact"/>
              <w:ind w:left="-65" w:leftChars="-31" w:right="-35" w:rightChars="-17"/>
              <w:jc w:val="center"/>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1" w:type="dxa"/>
            <w:vMerge w:val="restart"/>
            <w:shd w:val="pct10" w:color="auto" w:fill="auto"/>
            <w:vAlign w:val="center"/>
          </w:tcPr>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right="-42" w:rightChars="-20"/>
              <w:rPr>
                <w:rFonts w:ascii="宋体" w:hAnsi="宋体" w:eastAsia="宋体" w:cs="Times New Roman"/>
                <w:b/>
                <w:bCs/>
                <w:color w:val="000000" w:themeColor="text1"/>
                <w:sz w:val="28"/>
                <w:szCs w:val="28"/>
              </w:rPr>
            </w:pPr>
          </w:p>
          <w:p>
            <w:pPr>
              <w:tabs>
                <w:tab w:val="left" w:pos="322"/>
              </w:tabs>
              <w:spacing w:line="320" w:lineRule="exact"/>
              <w:ind w:left="-42" w:right="-42" w:rightChars="-20"/>
              <w:jc w:val="right"/>
              <w:rPr>
                <w:rFonts w:ascii="宋体" w:hAnsi="宋体" w:eastAsia="宋体" w:cs="Times New Roman"/>
                <w:b/>
                <w:color w:val="000000" w:themeColor="text1"/>
                <w:sz w:val="24"/>
                <w:szCs w:val="24"/>
              </w:rPr>
            </w:pPr>
            <w:r>
              <w:rPr>
                <w:rFonts w:hint="eastAsia" w:ascii="宋体" w:hAnsi="宋体" w:eastAsia="宋体" w:cs="Times New Roman"/>
                <w:b/>
                <w:bCs/>
                <w:color w:val="000000" w:themeColor="text1"/>
                <w:sz w:val="28"/>
                <w:szCs w:val="28"/>
              </w:rPr>
              <w:t>技术服务评议</w:t>
            </w:r>
          </w:p>
        </w:tc>
        <w:tc>
          <w:tcPr>
            <w:tcW w:w="1198" w:type="dxa"/>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评审因素</w:t>
            </w:r>
          </w:p>
        </w:tc>
        <w:tc>
          <w:tcPr>
            <w:tcW w:w="667" w:type="dxa"/>
            <w:shd w:val="pct10" w:color="auto" w:fill="auto"/>
            <w:vAlign w:val="center"/>
          </w:tcPr>
          <w:p>
            <w:pPr>
              <w:ind w:left="-73" w:leftChars="-35" w:right="-79" w:rightChars="-38"/>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分值</w:t>
            </w:r>
          </w:p>
        </w:tc>
        <w:tc>
          <w:tcPr>
            <w:tcW w:w="6583" w:type="dxa"/>
            <w:shd w:val="pct10" w:color="auto" w:fill="auto"/>
            <w:vAlign w:val="center"/>
          </w:tcPr>
          <w:p>
            <w:pPr>
              <w:ind w:left="-77" w:leftChars="-37" w:right="-86" w:rightChars="-41"/>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评分标准</w:t>
            </w:r>
          </w:p>
        </w:tc>
        <w:tc>
          <w:tcPr>
            <w:tcW w:w="814" w:type="dxa"/>
            <w:shd w:val="pct10" w:color="auto" w:fill="auto"/>
            <w:vAlign w:val="center"/>
          </w:tcPr>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因素</w:t>
            </w:r>
          </w:p>
          <w:p>
            <w:pPr>
              <w:spacing w:line="280" w:lineRule="exact"/>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规划思路</w:t>
            </w:r>
          </w:p>
        </w:tc>
        <w:tc>
          <w:tcPr>
            <w:tcW w:w="667"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10</w:t>
            </w:r>
          </w:p>
        </w:tc>
        <w:tc>
          <w:tcPr>
            <w:tcW w:w="6583" w:type="dxa"/>
            <w:vAlign w:val="center"/>
          </w:tcPr>
          <w:p>
            <w:pPr>
              <w:numPr>
                <w:ilvl w:val="0"/>
                <w:numId w:val="73"/>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投标人规划思路和技术线路清晰准确、科学合理、完全符合相关文件要求得10分；</w:t>
            </w:r>
          </w:p>
          <w:p>
            <w:pPr>
              <w:numPr>
                <w:ilvl w:val="0"/>
                <w:numId w:val="73"/>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投标人规划思路和技术线路较为清晰准确、基本合理、基本符合相关文件要求得7分；</w:t>
            </w:r>
          </w:p>
          <w:p>
            <w:pPr>
              <w:numPr>
                <w:ilvl w:val="0"/>
                <w:numId w:val="73"/>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投标人能提供规划思路和技术线路得4分。</w:t>
            </w:r>
          </w:p>
          <w:p>
            <w:pPr>
              <w:pStyle w:val="5"/>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4.投标人未提供的不得分。</w:t>
            </w:r>
          </w:p>
        </w:tc>
        <w:tc>
          <w:tcPr>
            <w:tcW w:w="814" w:type="dxa"/>
            <w:vAlign w:val="center"/>
          </w:tcPr>
          <w:p>
            <w:pPr>
              <w:adjustRightInd w:val="0"/>
              <w:snapToGrid w:val="0"/>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规划环评内容</w:t>
            </w:r>
          </w:p>
        </w:tc>
        <w:tc>
          <w:tcPr>
            <w:tcW w:w="667"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10</w:t>
            </w:r>
          </w:p>
        </w:tc>
        <w:tc>
          <w:tcPr>
            <w:tcW w:w="6583" w:type="dxa"/>
            <w:vAlign w:val="center"/>
          </w:tcPr>
          <w:p>
            <w:pPr>
              <w:numPr>
                <w:ilvl w:val="0"/>
                <w:numId w:val="74"/>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投标人对规划环评的内容和要求理解准确，规划环评内容科学合理、详实全面、可操作性强得10分；</w:t>
            </w:r>
          </w:p>
          <w:p>
            <w:pPr>
              <w:numPr>
                <w:ilvl w:val="0"/>
                <w:numId w:val="74"/>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投标人规划环评的内容和要求理解较为准确，规划环评内容较为科学合理、详实全面、有可操作性得7分；</w:t>
            </w:r>
          </w:p>
          <w:p>
            <w:pPr>
              <w:numPr>
                <w:ilvl w:val="0"/>
                <w:numId w:val="74"/>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投标人基本能理解规划环评的内容和要求得4分。</w:t>
            </w:r>
          </w:p>
          <w:p>
            <w:pPr>
              <w:numPr>
                <w:ilvl w:val="0"/>
                <w:numId w:val="74"/>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投标人未提供的不得分。</w:t>
            </w:r>
          </w:p>
        </w:tc>
        <w:tc>
          <w:tcPr>
            <w:tcW w:w="814" w:type="dxa"/>
            <w:vAlign w:val="center"/>
          </w:tcPr>
          <w:p>
            <w:pPr>
              <w:adjustRightInd w:val="0"/>
              <w:snapToGrid w:val="0"/>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工作要点分析</w:t>
            </w:r>
          </w:p>
        </w:tc>
        <w:tc>
          <w:tcPr>
            <w:tcW w:w="667"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10</w:t>
            </w:r>
          </w:p>
        </w:tc>
        <w:tc>
          <w:tcPr>
            <w:tcW w:w="6583" w:type="dxa"/>
            <w:vAlign w:val="center"/>
          </w:tcPr>
          <w:p>
            <w:pPr>
              <w:numPr>
                <w:ilvl w:val="0"/>
                <w:numId w:val="75"/>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投标人工作要点分析合理，关键性技术问题的对策措施针对性、可行性强得10分；</w:t>
            </w:r>
          </w:p>
          <w:p>
            <w:pPr>
              <w:numPr>
                <w:ilvl w:val="0"/>
                <w:numId w:val="75"/>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投标人工作要点分析较为合理，关键性技术问题的对策措施针对性、可行性较强得7分；</w:t>
            </w:r>
          </w:p>
          <w:p>
            <w:pPr>
              <w:numPr>
                <w:ilvl w:val="0"/>
                <w:numId w:val="75"/>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投标人工作要点分析基本合理，关键性技术问题的对策措施针对性、可行性一般得4分。</w:t>
            </w:r>
          </w:p>
          <w:p>
            <w:pPr>
              <w:numPr>
                <w:ilvl w:val="0"/>
                <w:numId w:val="75"/>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投标人未提供的不得分。</w:t>
            </w:r>
          </w:p>
        </w:tc>
        <w:tc>
          <w:tcPr>
            <w:tcW w:w="814" w:type="dxa"/>
            <w:vAlign w:val="center"/>
          </w:tcPr>
          <w:p>
            <w:pPr>
              <w:adjustRightInd w:val="0"/>
              <w:snapToGrid w:val="0"/>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项目组织实施安排</w:t>
            </w:r>
          </w:p>
        </w:tc>
        <w:tc>
          <w:tcPr>
            <w:tcW w:w="667"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w:t>
            </w:r>
          </w:p>
        </w:tc>
        <w:tc>
          <w:tcPr>
            <w:tcW w:w="6583" w:type="dxa"/>
            <w:vAlign w:val="center"/>
          </w:tcPr>
          <w:p>
            <w:pPr>
              <w:numPr>
                <w:ilvl w:val="0"/>
                <w:numId w:val="76"/>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 xml:space="preserve">投标人的项目质量保障措施和工作进度保障措施完善、各  </w:t>
            </w:r>
          </w:p>
          <w:p>
            <w:p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环节时间安排合理、完全符合采购人要求得5分；</w:t>
            </w:r>
          </w:p>
          <w:p>
            <w:pPr>
              <w:numPr>
                <w:ilvl w:val="0"/>
                <w:numId w:val="76"/>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投标人的项目质量保障措施和工作进度保障措施较为完善、各环节时间安排较为合理、基本符合采购人要求得3分；</w:t>
            </w:r>
          </w:p>
          <w:p>
            <w:pPr>
              <w:numPr>
                <w:ilvl w:val="0"/>
                <w:numId w:val="76"/>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投标人的项目质量保障措施和工作进度保障措施基本完善、各环节时间安排基本合理得1分。</w:t>
            </w:r>
          </w:p>
          <w:p>
            <w:pPr>
              <w:numPr>
                <w:ilvl w:val="0"/>
                <w:numId w:val="76"/>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投标人未提供的不得分。</w:t>
            </w:r>
          </w:p>
        </w:tc>
        <w:tc>
          <w:tcPr>
            <w:tcW w:w="814" w:type="dxa"/>
            <w:vAlign w:val="center"/>
          </w:tcPr>
          <w:p>
            <w:pPr>
              <w:adjustRightInd w:val="0"/>
              <w:snapToGrid w:val="0"/>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611" w:type="dxa"/>
            <w:vMerge w:val="continue"/>
            <w:vAlign w:val="center"/>
          </w:tcPr>
          <w:p>
            <w:pPr>
              <w:tabs>
                <w:tab w:val="left" w:pos="322"/>
              </w:tabs>
              <w:spacing w:line="320" w:lineRule="exact"/>
              <w:ind w:left="-42" w:right="-42" w:rightChars="-20"/>
              <w:jc w:val="right"/>
              <w:rPr>
                <w:rFonts w:ascii="宋体" w:hAnsi="宋体" w:eastAsia="宋体" w:cs="Times New Roman"/>
                <w:b/>
                <w:color w:val="000000" w:themeColor="text1"/>
                <w:sz w:val="24"/>
              </w:rPr>
            </w:pPr>
          </w:p>
        </w:tc>
        <w:tc>
          <w:tcPr>
            <w:tcW w:w="1198"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后续服务</w:t>
            </w:r>
          </w:p>
        </w:tc>
        <w:tc>
          <w:tcPr>
            <w:tcW w:w="667" w:type="dxa"/>
            <w:vAlign w:val="center"/>
          </w:tcPr>
          <w:p>
            <w:pPr>
              <w:adjustRightInd w:val="0"/>
              <w:snapToGrid w:val="0"/>
              <w:jc w:val="center"/>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5</w:t>
            </w:r>
          </w:p>
        </w:tc>
        <w:tc>
          <w:tcPr>
            <w:tcW w:w="6583" w:type="dxa"/>
            <w:vAlign w:val="center"/>
          </w:tcPr>
          <w:p>
            <w:pPr>
              <w:numPr>
                <w:ilvl w:val="0"/>
                <w:numId w:val="77"/>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投标人后续服务保障计划合理、实施措施详细、可行性强得5分；</w:t>
            </w:r>
          </w:p>
          <w:p>
            <w:pPr>
              <w:numPr>
                <w:ilvl w:val="0"/>
                <w:numId w:val="77"/>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投标人后续服务保障计划较为合理、实施措施较为详细、可行性较强得3分；</w:t>
            </w:r>
          </w:p>
          <w:p>
            <w:pPr>
              <w:numPr>
                <w:ilvl w:val="0"/>
                <w:numId w:val="77"/>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投标人后续服务保障计划基本合理、有基本的实施措施、有可行性得1分。</w:t>
            </w:r>
          </w:p>
          <w:p>
            <w:pPr>
              <w:numPr>
                <w:ilvl w:val="0"/>
                <w:numId w:val="77"/>
              </w:num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投标人未提供的不得分。</w:t>
            </w:r>
          </w:p>
        </w:tc>
        <w:tc>
          <w:tcPr>
            <w:tcW w:w="814" w:type="dxa"/>
            <w:vAlign w:val="center"/>
          </w:tcPr>
          <w:p>
            <w:pPr>
              <w:adjustRightInd w:val="0"/>
              <w:snapToGrid w:val="0"/>
              <w:rPr>
                <w:rFonts w:ascii="宋体" w:hAnsi="宋体" w:eastAsia="宋体"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476" w:type="dxa"/>
            <w:gridSpan w:val="3"/>
            <w:vAlign w:val="center"/>
          </w:tcPr>
          <w:p>
            <w:pPr>
              <w:spacing w:line="320" w:lineRule="exact"/>
              <w:ind w:left="-48" w:leftChars="-23" w:right="-35" w:rightChars="-17"/>
              <w:jc w:val="center"/>
              <w:rPr>
                <w:rFonts w:ascii="宋体" w:hAnsi="宋体" w:eastAsia="宋体" w:cs="Times New Roman"/>
                <w:b/>
                <w:color w:val="FF0000"/>
                <w:sz w:val="24"/>
              </w:rPr>
            </w:pPr>
            <w:r>
              <w:rPr>
                <w:rFonts w:hint="eastAsia" w:ascii="宋体" w:hAnsi="宋体" w:eastAsia="宋体" w:cs="Times New Roman"/>
                <w:b/>
                <w:color w:val="FF0000"/>
                <w:sz w:val="24"/>
              </w:rPr>
              <w:t>技术分合计</w:t>
            </w:r>
          </w:p>
        </w:tc>
        <w:tc>
          <w:tcPr>
            <w:tcW w:w="7397" w:type="dxa"/>
            <w:gridSpan w:val="2"/>
            <w:vAlign w:val="center"/>
          </w:tcPr>
          <w:p>
            <w:pPr>
              <w:spacing w:line="320" w:lineRule="exact"/>
              <w:ind w:left="-65" w:leftChars="-31" w:right="-35" w:rightChars="-17"/>
              <w:jc w:val="center"/>
              <w:rPr>
                <w:rFonts w:ascii="宋体" w:hAnsi="宋体" w:eastAsia="宋体" w:cs="Times New Roman"/>
                <w:b/>
                <w:color w:val="000000" w:themeColor="text1"/>
                <w:szCs w:val="21"/>
              </w:rPr>
            </w:pPr>
            <w:r>
              <w:rPr>
                <w:rFonts w:hint="eastAsia" w:ascii="宋体" w:hAnsi="宋体" w:eastAsia="宋体" w:cs="Times New Roman"/>
                <w:b/>
                <w:color w:val="000000" w:themeColor="text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gridSpan w:val="2"/>
            <w:vAlign w:val="center"/>
          </w:tcPr>
          <w:p>
            <w:pPr>
              <w:ind w:left="-77" w:leftChars="-37" w:right="-86" w:rightChars="-41"/>
              <w:jc w:val="center"/>
              <w:rPr>
                <w:rFonts w:ascii="宋体" w:hAnsi="宋体" w:eastAsia="宋体" w:cs="Times New Roman"/>
                <w:bCs/>
                <w:color w:val="000000" w:themeColor="text1"/>
                <w:sz w:val="24"/>
                <w:szCs w:val="24"/>
              </w:rPr>
            </w:pPr>
            <w:r>
              <w:rPr>
                <w:rFonts w:hint="eastAsia" w:ascii="宋体" w:hAnsi="宋体" w:eastAsia="宋体" w:cs="Times New Roman"/>
                <w:bCs/>
                <w:color w:val="000000" w:themeColor="text1"/>
                <w:sz w:val="24"/>
                <w:szCs w:val="24"/>
              </w:rPr>
              <w:t>价格评议</w:t>
            </w:r>
          </w:p>
        </w:tc>
        <w:tc>
          <w:tcPr>
            <w:tcW w:w="667" w:type="dxa"/>
            <w:vAlign w:val="center"/>
          </w:tcPr>
          <w:p>
            <w:pPr>
              <w:spacing w:line="320" w:lineRule="exact"/>
              <w:ind w:left="-48" w:leftChars="-23" w:right="-35" w:rightChars="-17"/>
              <w:jc w:val="center"/>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sz w:val="24"/>
              </w:rPr>
              <w:t>10</w:t>
            </w:r>
          </w:p>
        </w:tc>
        <w:tc>
          <w:tcPr>
            <w:tcW w:w="7397" w:type="dxa"/>
            <w:gridSpan w:val="2"/>
            <w:vAlign w:val="center"/>
          </w:tcPr>
          <w:p>
            <w:pPr>
              <w:adjustRightInd w:val="0"/>
              <w:snapToGrid w:val="0"/>
              <w:rPr>
                <w:rFonts w:ascii="宋体" w:hAnsi="宋体" w:eastAsia="宋体" w:cs="Times New Roman"/>
                <w:color w:val="000000" w:themeColor="text1"/>
                <w:sz w:val="24"/>
                <w:szCs w:val="24"/>
              </w:rPr>
            </w:pPr>
            <w:r>
              <w:rPr>
                <w:rFonts w:hint="eastAsia" w:ascii="宋体" w:hAnsi="宋体" w:eastAsia="宋体" w:cs="Times New Roman"/>
                <w:color w:val="000000" w:themeColor="text1"/>
                <w:sz w:val="24"/>
                <w:szCs w:val="24"/>
              </w:rPr>
              <w:t>评标委员会只对符合性审查合格的投标文件进行价格评议，报价分采用低价优先法计算，即满足招标文件要求且投标价格（落实政府采购政策进行价格调整的，以调整后的价格计算）最低的投标报价为评标基准价，其价格分为满分。其他投标人的价格分按照下列公式计算：报价得分=(评标基准价／投标报价)×10分。计算时保留两位小数。为保证产品质量，投标报价低于采购预算80%时，评标委员会将对其进行成本分析，评标委员会认为报价低于成本价时将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476" w:type="dxa"/>
            <w:gridSpan w:val="3"/>
            <w:vAlign w:val="center"/>
          </w:tcPr>
          <w:p>
            <w:pPr>
              <w:spacing w:line="320" w:lineRule="exact"/>
              <w:jc w:val="center"/>
              <w:rPr>
                <w:rFonts w:ascii="宋体" w:hAnsi="宋体" w:eastAsia="宋体" w:cs="Times New Roman"/>
                <w:b/>
                <w:color w:val="FF0000"/>
                <w:kern w:val="0"/>
                <w:sz w:val="24"/>
                <w:szCs w:val="24"/>
              </w:rPr>
            </w:pPr>
            <w:r>
              <w:rPr>
                <w:rFonts w:hint="eastAsia" w:ascii="宋体" w:hAnsi="宋体" w:eastAsia="宋体" w:cs="Times New Roman"/>
                <w:b/>
                <w:color w:val="FF0000"/>
                <w:kern w:val="0"/>
                <w:sz w:val="24"/>
                <w:szCs w:val="24"/>
              </w:rPr>
              <w:t>报价分合计</w:t>
            </w:r>
          </w:p>
        </w:tc>
        <w:tc>
          <w:tcPr>
            <w:tcW w:w="7397" w:type="dxa"/>
            <w:gridSpan w:val="2"/>
            <w:vAlign w:val="center"/>
          </w:tcPr>
          <w:p>
            <w:pPr>
              <w:adjustRightInd w:val="0"/>
              <w:snapToGrid w:val="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476" w:type="dxa"/>
            <w:gridSpan w:val="3"/>
            <w:vAlign w:val="center"/>
          </w:tcPr>
          <w:p>
            <w:pPr>
              <w:spacing w:line="320" w:lineRule="exact"/>
              <w:jc w:val="center"/>
              <w:rPr>
                <w:rFonts w:ascii="宋体" w:hAnsi="宋体" w:eastAsia="宋体" w:cs="Times New Roman"/>
                <w:b/>
                <w:color w:val="FF0000"/>
                <w:kern w:val="0"/>
                <w:sz w:val="24"/>
                <w:szCs w:val="24"/>
              </w:rPr>
            </w:pPr>
            <w:r>
              <w:rPr>
                <w:rFonts w:hint="eastAsia" w:ascii="宋体" w:hAnsi="宋体" w:eastAsia="宋体" w:cs="Times New Roman"/>
                <w:b/>
                <w:color w:val="FF0000"/>
                <w:kern w:val="0"/>
                <w:sz w:val="24"/>
                <w:szCs w:val="24"/>
              </w:rPr>
              <w:t>得分总计</w:t>
            </w:r>
          </w:p>
        </w:tc>
        <w:tc>
          <w:tcPr>
            <w:tcW w:w="7397" w:type="dxa"/>
            <w:gridSpan w:val="2"/>
            <w:vAlign w:val="center"/>
          </w:tcPr>
          <w:p>
            <w:pPr>
              <w:adjustRightInd w:val="0"/>
              <w:snapToGrid w:val="0"/>
              <w:jc w:val="center"/>
              <w:rPr>
                <w:rFonts w:ascii="宋体" w:hAnsi="宋体" w:eastAsia="宋体" w:cs="Times New Roman"/>
                <w:b/>
                <w:color w:val="000000" w:themeColor="text1"/>
                <w:sz w:val="24"/>
                <w:szCs w:val="24"/>
              </w:rPr>
            </w:pPr>
            <w:r>
              <w:rPr>
                <w:rFonts w:hint="eastAsia" w:ascii="宋体" w:hAnsi="宋体" w:eastAsia="宋体" w:cs="Times New Roman"/>
                <w:b/>
                <w:color w:val="000000" w:themeColor="text1"/>
                <w:sz w:val="24"/>
                <w:szCs w:val="24"/>
              </w:rPr>
              <w:t>100</w:t>
            </w:r>
          </w:p>
        </w:tc>
      </w:tr>
    </w:tbl>
    <w:p/>
    <w:p>
      <w:r>
        <w:br w:type="page"/>
      </w:r>
    </w:p>
    <w:p>
      <w:pPr>
        <w:pStyle w:val="2"/>
        <w:numPr>
          <w:ilvl w:val="0"/>
          <w:numId w:val="1"/>
        </w:numPr>
        <w:jc w:val="center"/>
        <w:rPr>
          <w:rFonts w:ascii="黑体" w:hAnsi="黑体" w:eastAsia="黑体"/>
        </w:rPr>
      </w:pPr>
      <w:bookmarkStart w:id="70" w:name="_Toc48230909"/>
      <w:bookmarkStart w:id="71" w:name="_Toc494721093"/>
      <w:bookmarkStart w:id="72" w:name="_Toc494664993"/>
      <w:bookmarkStart w:id="73" w:name="_Toc494702263"/>
      <w:bookmarkStart w:id="74" w:name="_Toc494665943"/>
      <w:bookmarkStart w:id="75" w:name="_Toc494665546"/>
      <w:bookmarkStart w:id="76" w:name="_Toc494745310"/>
      <w:r>
        <w:rPr>
          <w:rFonts w:hint="eastAsia" w:ascii="黑体" w:hAnsi="黑体" w:eastAsia="黑体"/>
        </w:rPr>
        <w:t>合同书格式（参考）</w:t>
      </w:r>
      <w:bookmarkEnd w:id="70"/>
      <w:bookmarkEnd w:id="71"/>
      <w:bookmarkEnd w:id="72"/>
      <w:bookmarkEnd w:id="73"/>
      <w:bookmarkEnd w:id="74"/>
      <w:bookmarkEnd w:id="75"/>
      <w:bookmarkEnd w:id="76"/>
    </w:p>
    <w:p>
      <w:pPr>
        <w:spacing w:line="360" w:lineRule="auto"/>
        <w:ind w:firstLine="480" w:firstLineChars="200"/>
        <w:rPr>
          <w:sz w:val="24"/>
          <w:szCs w:val="24"/>
        </w:rPr>
      </w:pPr>
      <w:r>
        <w:rPr>
          <w:rFonts w:hint="eastAsia"/>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kern w:val="0"/>
          <w:sz w:val="36"/>
          <w:szCs w:val="36"/>
        </w:rPr>
      </w:pPr>
      <w:r>
        <w:rPr>
          <w:rFonts w:hint="eastAsia" w:ascii="宋体" w:hAnsi="宋体" w:eastAsia="宋体" w:cs="Times New Roman"/>
          <w:b/>
          <w:kern w:val="0"/>
          <w:sz w:val="36"/>
          <w:szCs w:val="36"/>
        </w:rPr>
        <w:t>合   同   书</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项目名称：</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合同编号：</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签订日期：</w:t>
      </w:r>
    </w:p>
    <w:p>
      <w:pPr>
        <w:spacing w:beforeLines="25" w:line="360" w:lineRule="auto"/>
        <w:ind w:firstLine="480" w:firstLineChars="200"/>
        <w:rPr>
          <w:rFonts w:ascii="Helvetica" w:hAnsi="Helvetica" w:eastAsia="宋体" w:cs="Helvetica"/>
          <w:b/>
          <w:kern w:val="0"/>
          <w:sz w:val="24"/>
          <w:szCs w:val="24"/>
          <w:lang w:val="zh-CN"/>
        </w:rPr>
      </w:pPr>
      <w:r>
        <w:rPr>
          <w:rFonts w:hint="eastAsia" w:ascii="Helvetica" w:hAnsi="Helvetica" w:eastAsia="宋体" w:cs="Helvetica"/>
          <w:b/>
          <w:kern w:val="0"/>
          <w:sz w:val="24"/>
          <w:szCs w:val="24"/>
          <w:lang w:val="zh-CN"/>
        </w:rPr>
        <w:t>签订合同地点：</w:t>
      </w:r>
    </w:p>
    <w:p>
      <w:pPr>
        <w:spacing w:beforeLines="25" w:line="360" w:lineRule="auto"/>
        <w:ind w:firstLine="480" w:firstLineChars="200"/>
        <w:rPr>
          <w:rFonts w:ascii="Helvetica" w:hAnsi="Helvetica" w:eastAsia="宋体" w:cs="Helvetica"/>
          <w:kern w:val="0"/>
          <w:sz w:val="24"/>
          <w:szCs w:val="24"/>
          <w:lang w:val="zh-CN"/>
        </w:rPr>
      </w:pPr>
      <w:r>
        <w:rPr>
          <w:rFonts w:hint="eastAsia" w:ascii="Helvetica" w:hAnsi="Helvetica" w:eastAsia="宋体" w:cs="Helvetica"/>
          <w:kern w:val="0"/>
          <w:sz w:val="24"/>
          <w:szCs w:val="24"/>
          <w:lang w:val="zh-CN"/>
        </w:rPr>
        <w:t>本合同由</w:t>
      </w:r>
      <w:r>
        <w:rPr>
          <w:rFonts w:hint="eastAsia" w:ascii="Helvetica" w:hAnsi="Helvetica" w:eastAsia="宋体" w:cs="Helvetica"/>
          <w:kern w:val="0"/>
          <w:sz w:val="24"/>
          <w:szCs w:val="24"/>
          <w:u w:val="single"/>
          <w:lang w:val="zh-CN"/>
        </w:rPr>
        <w:t>（采购人）</w:t>
      </w:r>
      <w:r>
        <w:rPr>
          <w:rFonts w:hint="eastAsia" w:ascii="Helvetica" w:hAnsi="Helvetica" w:eastAsia="宋体" w:cs="Helvetica"/>
          <w:kern w:val="0"/>
          <w:sz w:val="24"/>
          <w:szCs w:val="24"/>
          <w:lang w:val="zh-CN"/>
        </w:rPr>
        <w:t>（以下简称“甲方”）与</w:t>
      </w:r>
      <w:r>
        <w:rPr>
          <w:rFonts w:hint="eastAsia" w:ascii="Helvetica" w:hAnsi="Helvetica" w:eastAsia="宋体" w:cs="Helvetica"/>
          <w:kern w:val="0"/>
          <w:sz w:val="24"/>
          <w:szCs w:val="24"/>
          <w:u w:val="single"/>
          <w:lang w:val="zh-CN"/>
        </w:rPr>
        <w:t>（中标人）</w:t>
      </w:r>
      <w:r>
        <w:rPr>
          <w:rFonts w:hint="eastAsia" w:ascii="Helvetica" w:hAnsi="Helvetica" w:eastAsia="宋体" w:cs="Helvetica"/>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kern w:val="0"/>
          <w:sz w:val="24"/>
          <w:szCs w:val="20"/>
        </w:rPr>
      </w:pPr>
      <w:r>
        <w:rPr>
          <w:rFonts w:hint="eastAsia" w:ascii="Helvetica" w:hAnsi="Helvetica" w:eastAsia="宋体" w:cs="Helvetica"/>
          <w:b/>
          <w:kern w:val="0"/>
          <w:sz w:val="24"/>
          <w:szCs w:val="24"/>
          <w:lang w:val="zh-CN"/>
        </w:rPr>
        <w:t>经双方协商，同意按下列条文执行：</w:t>
      </w:r>
    </w:p>
    <w:p>
      <w:pPr>
        <w:numPr>
          <w:ilvl w:val="3"/>
          <w:numId w:val="7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本合同甲、乙双方应遵守国家颁布的《中华人民共和国合同法》、《中华人民共和国政府采购法》，并各自履行应负的全部责任和义务。</w:t>
      </w:r>
    </w:p>
    <w:p>
      <w:pPr>
        <w:numPr>
          <w:ilvl w:val="3"/>
          <w:numId w:val="7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甲方保证按合同条款规定的时间和方式付给乙方到期应付的合同款，并承担应负的责任和义务。</w:t>
      </w:r>
    </w:p>
    <w:p>
      <w:pPr>
        <w:numPr>
          <w:ilvl w:val="3"/>
          <w:numId w:val="7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乙方保证按合同条款规定的内容和工期（服务期限）向甲方提供合格的货物（工程或服务），并承担应负的责任和义务。</w:t>
      </w:r>
    </w:p>
    <w:p>
      <w:pPr>
        <w:numPr>
          <w:ilvl w:val="3"/>
          <w:numId w:val="7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合同文件。下列文件为本合同不可分割的部分：</w:t>
      </w:r>
    </w:p>
    <w:p>
      <w:pPr>
        <w:numPr>
          <w:ilvl w:val="0"/>
          <w:numId w:val="7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招标文件（项目编号：</w:t>
      </w:r>
      <w:r>
        <w:rPr>
          <w:rFonts w:hint="eastAsia" w:ascii="宋体" w:hAnsi="宋体" w:eastAsia="宋体" w:cs="Times New Roman"/>
          <w:kern w:val="0"/>
          <w:sz w:val="24"/>
          <w:szCs w:val="20"/>
          <w:u w:val="single"/>
          <w:lang w:val="zh-CN"/>
        </w:rPr>
        <w:t>　　            　</w:t>
      </w:r>
      <w:r>
        <w:rPr>
          <w:rFonts w:hint="eastAsia" w:ascii="宋体" w:hAnsi="宋体" w:eastAsia="宋体" w:cs="Times New Roman"/>
          <w:kern w:val="0"/>
          <w:sz w:val="24"/>
          <w:szCs w:val="20"/>
          <w:lang w:val="zh-CN"/>
        </w:rPr>
        <w:t>）；</w:t>
      </w:r>
    </w:p>
    <w:p>
      <w:pPr>
        <w:numPr>
          <w:ilvl w:val="0"/>
          <w:numId w:val="7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中标的投标文件；</w:t>
      </w:r>
    </w:p>
    <w:p>
      <w:pPr>
        <w:numPr>
          <w:ilvl w:val="0"/>
          <w:numId w:val="7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合同书；</w:t>
      </w:r>
    </w:p>
    <w:p>
      <w:pPr>
        <w:numPr>
          <w:ilvl w:val="0"/>
          <w:numId w:val="7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合同条款；</w:t>
      </w:r>
    </w:p>
    <w:p>
      <w:pPr>
        <w:numPr>
          <w:ilvl w:val="0"/>
          <w:numId w:val="7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采购代理机构发出的中标通知书；</w:t>
      </w:r>
    </w:p>
    <w:p>
      <w:pPr>
        <w:numPr>
          <w:ilvl w:val="0"/>
          <w:numId w:val="79"/>
        </w:numPr>
        <w:adjustRightInd w:val="0"/>
        <w:spacing w:beforeLines="25" w:line="360" w:lineRule="auto"/>
        <w:ind w:left="1090" w:leftChars="227" w:hanging="614" w:hangingChars="256"/>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附件；</w:t>
      </w:r>
    </w:p>
    <w:p>
      <w:pPr>
        <w:numPr>
          <w:ilvl w:val="0"/>
          <w:numId w:val="80"/>
        </w:numPr>
        <w:spacing w:beforeLines="25" w:line="360" w:lineRule="auto"/>
        <w:ind w:left="1358" w:hanging="724"/>
        <w:rPr>
          <w:rFonts w:ascii="宋体" w:hAnsi="宋体" w:eastAsia="宋体" w:cs="Times New Roman"/>
          <w:sz w:val="24"/>
          <w:szCs w:val="20"/>
          <w:lang w:val="zh-CN"/>
        </w:rPr>
      </w:pPr>
      <w:r>
        <w:rPr>
          <w:rFonts w:hint="eastAsia" w:ascii="宋体" w:hAnsi="宋体" w:eastAsia="宋体" w:cs="Times New Roman"/>
          <w:kern w:val="0"/>
          <w:sz w:val="24"/>
          <w:szCs w:val="20"/>
          <w:lang w:val="zh-CN"/>
        </w:rPr>
        <w:t>甲方</w:t>
      </w:r>
      <w:r>
        <w:rPr>
          <w:rFonts w:hint="eastAsia" w:ascii="宋体" w:hAnsi="宋体" w:eastAsia="宋体" w:cs="Times New Roman"/>
          <w:sz w:val="24"/>
          <w:szCs w:val="20"/>
          <w:lang w:val="zh-CN"/>
        </w:rPr>
        <w:t>在招标期间发布的所有补充通知；</w:t>
      </w:r>
    </w:p>
    <w:p>
      <w:pPr>
        <w:numPr>
          <w:ilvl w:val="0"/>
          <w:numId w:val="80"/>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乙方在投标期内补充的所有书面文件；</w:t>
      </w:r>
    </w:p>
    <w:p>
      <w:pPr>
        <w:numPr>
          <w:ilvl w:val="0"/>
          <w:numId w:val="80"/>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乙方在投标时随同投标文件一起递送的资料及附图；</w:t>
      </w:r>
    </w:p>
    <w:p>
      <w:pPr>
        <w:numPr>
          <w:ilvl w:val="0"/>
          <w:numId w:val="80"/>
        </w:numPr>
        <w:spacing w:beforeLines="25" w:line="360" w:lineRule="auto"/>
        <w:ind w:left="1358" w:hanging="724"/>
        <w:rPr>
          <w:rFonts w:ascii="宋体" w:hAnsi="宋体" w:eastAsia="宋体" w:cs="Times New Roman"/>
          <w:kern w:val="0"/>
          <w:sz w:val="24"/>
          <w:szCs w:val="20"/>
          <w:lang w:val="zh-CN"/>
        </w:rPr>
      </w:pPr>
      <w:r>
        <w:rPr>
          <w:rFonts w:hint="eastAsia" w:ascii="宋体" w:hAnsi="宋体" w:eastAsia="宋体" w:cs="Times New Roman"/>
          <w:kern w:val="0"/>
          <w:sz w:val="24"/>
          <w:szCs w:val="20"/>
          <w:lang w:val="zh-CN"/>
        </w:rPr>
        <w:t>在商洽本合同时，双方澄清、确认并共同签字的补充文件、技术协议。</w:t>
      </w:r>
    </w:p>
    <w:p>
      <w:pPr>
        <w:numPr>
          <w:ilvl w:val="3"/>
          <w:numId w:val="7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合同范围和条件。本合同的范围和条件应与上述规定的合同文件内容相一致。</w:t>
      </w:r>
    </w:p>
    <w:p>
      <w:pPr>
        <w:numPr>
          <w:ilvl w:val="3"/>
          <w:numId w:val="7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货物（工程或服务）及数量。本合同所提供的货物（工程或服务）及数量详见招标文件的要求及乙方投标文件中的承诺。</w:t>
      </w:r>
    </w:p>
    <w:p>
      <w:pPr>
        <w:numPr>
          <w:ilvl w:val="3"/>
          <w:numId w:val="7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付款条件。本合同的付款条件按招标文件规定执行。</w:t>
      </w:r>
    </w:p>
    <w:p>
      <w:pPr>
        <w:numPr>
          <w:ilvl w:val="3"/>
          <w:numId w:val="7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合同金额。合同总金额见合同书，分项价格在乙方的投标报价表中有明确规定。</w:t>
      </w:r>
    </w:p>
    <w:p>
      <w:pPr>
        <w:numPr>
          <w:ilvl w:val="3"/>
          <w:numId w:val="78"/>
        </w:numPr>
        <w:tabs>
          <w:tab w:val="left" w:pos="854"/>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工期和交货（服务）地点。本合同中货物（工程或服务）的工期、交货（服务）地点在招标文件中有明确规定。</w:t>
      </w:r>
    </w:p>
    <w:p>
      <w:pPr>
        <w:numPr>
          <w:ilvl w:val="3"/>
          <w:numId w:val="78"/>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合同生效。本合同经甲、乙双方授权代表签字和加盖公章（或合同专用章）后生效。如招标申请公证的，合同需经公证机构公证后生效。</w:t>
      </w:r>
    </w:p>
    <w:p>
      <w:pPr>
        <w:numPr>
          <w:ilvl w:val="3"/>
          <w:numId w:val="78"/>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合同的份数。本合同正本一式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份；副本一式</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份，甲方执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份，乙方执</w:t>
      </w:r>
      <w:r>
        <w:rPr>
          <w:rFonts w:hint="eastAsia" w:ascii="宋体" w:hAnsi="宋体" w:eastAsia="宋体" w:cs="Times New Roman"/>
          <w:kern w:val="0"/>
          <w:sz w:val="24"/>
          <w:szCs w:val="20"/>
          <w:u w:val="single"/>
        </w:rPr>
        <w:t>　</w:t>
      </w:r>
      <w:r>
        <w:rPr>
          <w:rFonts w:hint="eastAsia" w:ascii="宋体" w:hAnsi="宋体" w:eastAsia="宋体" w:cs="Times New Roman"/>
          <w:kern w:val="0"/>
          <w:sz w:val="24"/>
          <w:szCs w:val="20"/>
        </w:rPr>
        <w:t>份。</w:t>
      </w:r>
    </w:p>
    <w:p>
      <w:pPr>
        <w:numPr>
          <w:ilvl w:val="3"/>
          <w:numId w:val="78"/>
        </w:numPr>
        <w:tabs>
          <w:tab w:val="left" w:pos="980"/>
        </w:tabs>
        <w:autoSpaceDE w:val="0"/>
        <w:autoSpaceDN w:val="0"/>
        <w:spacing w:beforeLines="25" w:line="360" w:lineRule="auto"/>
        <w:ind w:left="11" w:firstLine="477" w:firstLineChars="199"/>
        <w:contextualSpacing/>
        <w:rPr>
          <w:rFonts w:ascii="宋体" w:hAnsi="宋体" w:eastAsia="宋体" w:cs="Times New Roman"/>
          <w:kern w:val="0"/>
          <w:sz w:val="24"/>
          <w:szCs w:val="20"/>
        </w:rPr>
      </w:pPr>
      <w:r>
        <w:rPr>
          <w:rFonts w:hint="eastAsia" w:ascii="宋体" w:hAnsi="宋体" w:eastAsia="宋体" w:cs="Times New Roman"/>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甲　　方：</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乙　　方：</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单位名称（盖章）：</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单位地址：</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法人代表授权人(签字)：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联 系 人：</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电　　话：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电　　话：</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传　　真：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传　　真：</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邮政编码：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邮政编码：</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开户银行：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开户银行：</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帐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帐　　号：</w:t>
      </w:r>
    </w:p>
    <w:p>
      <w:pPr>
        <w:spacing w:beforeLines="25" w:line="360" w:lineRule="auto"/>
        <w:ind w:firstLine="489" w:firstLineChars="204"/>
        <w:contextualSpacing/>
        <w:jc w:val="left"/>
        <w:rPr>
          <w:rFonts w:ascii="宋体" w:hAnsi="宋体" w:eastAsia="宋体" w:cs="Times New Roman"/>
          <w:kern w:val="0"/>
          <w:sz w:val="24"/>
          <w:szCs w:val="20"/>
        </w:rPr>
      </w:pPr>
      <w:r>
        <w:rPr>
          <w:rFonts w:hint="eastAsia" w:ascii="宋体" w:hAnsi="宋体" w:eastAsia="宋体" w:cs="Times New Roman"/>
          <w:kern w:val="0"/>
          <w:sz w:val="24"/>
          <w:szCs w:val="20"/>
        </w:rPr>
        <w:t xml:space="preserve">税　　号：                         </w:t>
      </w:r>
      <w:r>
        <w:rPr>
          <w:rFonts w:hint="eastAsia" w:ascii="宋体" w:hAnsi="宋体" w:eastAsia="宋体" w:cs="Times New Roman"/>
          <w:kern w:val="0"/>
          <w:sz w:val="24"/>
          <w:szCs w:val="20"/>
        </w:rPr>
        <w:tab/>
      </w:r>
      <w:r>
        <w:rPr>
          <w:rFonts w:hint="eastAsia" w:ascii="宋体" w:hAnsi="宋体" w:eastAsia="宋体" w:cs="Times New Roman"/>
          <w:kern w:val="0"/>
          <w:sz w:val="24"/>
          <w:szCs w:val="20"/>
        </w:rPr>
        <w:t>税　　号：</w:t>
      </w:r>
    </w:p>
    <w:p>
      <w:r>
        <w:br w:type="page"/>
      </w:r>
    </w:p>
    <w:p>
      <w:pPr>
        <w:pStyle w:val="2"/>
        <w:numPr>
          <w:ilvl w:val="0"/>
          <w:numId w:val="1"/>
        </w:numPr>
        <w:jc w:val="center"/>
        <w:rPr>
          <w:rFonts w:ascii="黑体" w:hAnsi="黑体" w:eastAsia="黑体"/>
        </w:rPr>
      </w:pPr>
      <w:bookmarkStart w:id="77" w:name="_Toc494721094"/>
      <w:bookmarkStart w:id="78" w:name="_Toc494702264"/>
      <w:bookmarkStart w:id="79" w:name="_Toc494665944"/>
      <w:bookmarkStart w:id="80" w:name="_Toc494745311"/>
      <w:bookmarkStart w:id="81" w:name="_Toc494664994"/>
      <w:bookmarkStart w:id="82" w:name="_Toc494665547"/>
      <w:bookmarkStart w:id="83" w:name="_Toc48230910"/>
      <w:r>
        <w:rPr>
          <w:rFonts w:hint="eastAsia" w:ascii="黑体" w:hAnsi="黑体" w:eastAsia="黑体"/>
        </w:rPr>
        <w:t>投标文件格式（参考）</w:t>
      </w:r>
      <w:bookmarkEnd w:id="77"/>
      <w:bookmarkEnd w:id="78"/>
      <w:bookmarkEnd w:id="79"/>
      <w:bookmarkEnd w:id="80"/>
      <w:bookmarkEnd w:id="81"/>
      <w:bookmarkEnd w:id="82"/>
      <w:bookmarkEnd w:id="83"/>
    </w:p>
    <w:p>
      <w:pPr>
        <w:spacing w:afterLines="250"/>
        <w:jc w:val="center"/>
        <w:rPr>
          <w:rFonts w:ascii="黑体" w:hAnsi="黑体" w:eastAsia="黑体"/>
          <w:b/>
          <w:sz w:val="56"/>
          <w:szCs w:val="56"/>
        </w:rPr>
      </w:pPr>
      <w:r>
        <w:rPr>
          <w:rFonts w:hint="eastAsia" w:ascii="黑体" w:hAnsi="黑体" w:eastAsia="黑体"/>
          <w:b/>
          <w:sz w:val="56"/>
          <w:szCs w:val="56"/>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spacing w:afterLines="200"/>
        <w:jc w:val="center"/>
        <w:rPr>
          <w:rFonts w:ascii="黑体" w:hAnsi="黑体" w:eastAsia="黑体"/>
          <w:b/>
          <w:sz w:val="144"/>
          <w:szCs w:val="144"/>
        </w:rPr>
      </w:pPr>
    </w:p>
    <w:p>
      <w:pPr>
        <w:pStyle w:val="3"/>
        <w:spacing w:before="340" w:after="480" w:line="360" w:lineRule="auto"/>
        <w:jc w:val="center"/>
        <w:rPr>
          <w:rFonts w:cs="Times New Roman" w:asciiTheme="majorEastAsia" w:hAnsiTheme="majorEastAsia"/>
          <w:bCs w:val="0"/>
          <w:sz w:val="44"/>
          <w:szCs w:val="44"/>
          <w:lang w:val="zh-CN"/>
        </w:rPr>
      </w:pPr>
      <w:bookmarkStart w:id="84" w:name="_Toc494745312"/>
      <w:bookmarkStart w:id="85" w:name="_Toc494664995"/>
      <w:bookmarkStart w:id="86" w:name="_Toc494665548"/>
      <w:bookmarkStart w:id="87" w:name="_Toc494721095"/>
      <w:bookmarkStart w:id="88" w:name="_Toc494702265"/>
      <w:bookmarkStart w:id="89" w:name="_Toc494665945"/>
      <w:bookmarkStart w:id="90" w:name="_Toc48230911"/>
      <w:r>
        <w:rPr>
          <w:rFonts w:hint="eastAsia" w:cs="Times New Roman" w:asciiTheme="majorEastAsia" w:hAnsiTheme="majorEastAsia"/>
          <w:bCs w:val="0"/>
          <w:sz w:val="44"/>
          <w:szCs w:val="44"/>
          <w:lang w:val="zh-CN"/>
        </w:rPr>
        <w:t>第一部分 资格证明文件</w:t>
      </w:r>
      <w:bookmarkEnd w:id="84"/>
      <w:bookmarkEnd w:id="85"/>
      <w:bookmarkEnd w:id="86"/>
      <w:bookmarkEnd w:id="87"/>
      <w:bookmarkEnd w:id="88"/>
      <w:bookmarkEnd w:id="89"/>
      <w:bookmarkEnd w:id="90"/>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right="1287" w:rightChars="613"/>
        <w:jc w:val="center"/>
        <w:rPr>
          <w:rFonts w:cs="Times New Roman" w:asciiTheme="minorEastAsia" w:hAnsiTheme="minorEastAsia"/>
          <w:b/>
          <w:bCs/>
          <w:sz w:val="96"/>
          <w:szCs w:val="96"/>
        </w:rPr>
      </w:pPr>
      <w:r>
        <w:rPr>
          <w:rFonts w:hint="eastAsia" w:cs="Times New Roman" w:asciiTheme="minorEastAsia" w:hAnsiTheme="minorEastAsia"/>
          <w:b/>
          <w:bCs/>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二0二</w:t>
      </w:r>
      <w:r>
        <w:rPr>
          <w:rFonts w:hint="eastAsia" w:ascii="宋体" w:hAnsi="宋体"/>
          <w:b/>
          <w:sz w:val="36"/>
          <w:szCs w:val="36"/>
        </w:rPr>
        <w:t xml:space="preserve">  年 月</w:t>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91" w:name="_Toc494721096"/>
      <w:bookmarkStart w:id="92" w:name="_Toc494665946"/>
      <w:bookmarkStart w:id="93" w:name="_Toc494665549"/>
      <w:bookmarkStart w:id="94" w:name="_Toc494702266"/>
      <w:bookmarkStart w:id="95" w:name="_Toc494745313"/>
      <w:bookmarkStart w:id="96" w:name="_Toc494664996"/>
      <w:r>
        <w:rPr>
          <w:rFonts w:hint="eastAsia" w:ascii="黑体" w:hAnsi="黑体" w:eastAsia="黑体" w:cs="Times New Roman"/>
          <w:b/>
          <w:sz w:val="36"/>
          <w:szCs w:val="36"/>
        </w:rPr>
        <w:t>资格证明文件组成</w:t>
      </w:r>
      <w:bookmarkEnd w:id="91"/>
      <w:bookmarkEnd w:id="92"/>
      <w:bookmarkEnd w:id="93"/>
      <w:bookmarkEnd w:id="94"/>
      <w:bookmarkEnd w:id="95"/>
      <w:bookmarkEnd w:id="96"/>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由各投标人根据参考格式要求自行编写。目录清晰、内容详尽、易于理解和审查。具体内容应包括但不限于以下内容：</w:t>
      </w:r>
    </w:p>
    <w:p>
      <w:pPr>
        <w:numPr>
          <w:ilvl w:val="0"/>
          <w:numId w:val="81"/>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资格证明文件目录</w:t>
      </w:r>
      <w:r>
        <w:rPr>
          <w:rFonts w:hint="eastAsia" w:ascii="宋体" w:hAnsi="宋体" w:eastAsia="宋体" w:cs="Times New Roman"/>
          <w:b/>
          <w:kern w:val="0"/>
          <w:sz w:val="24"/>
          <w:szCs w:val="32"/>
        </w:rPr>
        <w:t>（目录应涵盖下述所有资料，页码清晰以便查阅）</w:t>
      </w:r>
      <w:r>
        <w:rPr>
          <w:rFonts w:hint="eastAsia" w:ascii="宋体" w:hAnsi="宋体" w:eastAsia="宋体" w:cs="Times New Roman"/>
          <w:kern w:val="0"/>
          <w:sz w:val="24"/>
          <w:szCs w:val="32"/>
        </w:rPr>
        <w:t>；</w:t>
      </w:r>
    </w:p>
    <w:p>
      <w:pPr>
        <w:numPr>
          <w:ilvl w:val="0"/>
          <w:numId w:val="81"/>
        </w:numPr>
        <w:autoSpaceDE w:val="0"/>
        <w:autoSpaceDN w:val="0"/>
        <w:adjustRightInd w:val="0"/>
        <w:spacing w:line="360" w:lineRule="auto"/>
        <w:ind w:left="490" w:hanging="370"/>
        <w:rPr>
          <w:rFonts w:ascii="宋体" w:hAnsi="宋体" w:eastAsia="宋体" w:cs="Times New Roman"/>
          <w:b/>
          <w:color w:val="0C0C0C" w:themeColor="text1" w:themeTint="F2"/>
          <w:kern w:val="0"/>
          <w:sz w:val="24"/>
          <w:szCs w:val="32"/>
        </w:rPr>
      </w:pPr>
      <w:r>
        <w:rPr>
          <w:rFonts w:hint="eastAsia" w:ascii="宋体" w:hAnsi="宋体"/>
          <w:color w:val="0C0C0C" w:themeColor="text1" w:themeTint="F2"/>
          <w:kern w:val="0"/>
          <w:sz w:val="24"/>
          <w:szCs w:val="32"/>
        </w:rPr>
        <w:t>应具备《政府采购法》第二十二条第一款规定的条件，提供下列材料：</w:t>
      </w:r>
    </w:p>
    <w:p>
      <w:pPr>
        <w:pStyle w:val="25"/>
        <w:numPr>
          <w:ilvl w:val="0"/>
          <w:numId w:val="8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法人或者其他组织的营业执照等证明文件，自然人的身份证明；</w:t>
      </w:r>
    </w:p>
    <w:p>
      <w:pPr>
        <w:pStyle w:val="25"/>
        <w:numPr>
          <w:ilvl w:val="0"/>
          <w:numId w:val="8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财务状况报告，依法缴纳税收和社会保障资金的相关材料；</w:t>
      </w:r>
    </w:p>
    <w:p>
      <w:pPr>
        <w:pStyle w:val="25"/>
        <w:numPr>
          <w:ilvl w:val="0"/>
          <w:numId w:val="8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具备履行合同所必需的设备和专业技术能力的证明材料；</w:t>
      </w:r>
    </w:p>
    <w:p>
      <w:pPr>
        <w:pStyle w:val="25"/>
        <w:numPr>
          <w:ilvl w:val="0"/>
          <w:numId w:val="8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参加政府采购活动前3年内在经营活动中没有重大违法记录的书面声明；</w:t>
      </w:r>
    </w:p>
    <w:p>
      <w:pPr>
        <w:pStyle w:val="25"/>
        <w:numPr>
          <w:ilvl w:val="0"/>
          <w:numId w:val="82"/>
        </w:numPr>
        <w:autoSpaceDE w:val="0"/>
        <w:autoSpaceDN w:val="0"/>
        <w:adjustRightInd w:val="0"/>
        <w:spacing w:line="360" w:lineRule="auto"/>
        <w:ind w:hanging="260" w:firstLineChars="0"/>
        <w:rPr>
          <w:rFonts w:ascii="宋体" w:hAnsi="宋体" w:eastAsia="宋体" w:cs="Times New Roman"/>
          <w:kern w:val="0"/>
          <w:sz w:val="24"/>
          <w:szCs w:val="32"/>
        </w:rPr>
      </w:pPr>
      <w:r>
        <w:rPr>
          <w:rFonts w:hint="eastAsia" w:ascii="宋体" w:hAnsi="宋体" w:eastAsia="宋体" w:cs="Times New Roman"/>
          <w:kern w:val="0"/>
          <w:sz w:val="24"/>
          <w:szCs w:val="32"/>
        </w:rPr>
        <w:t>具备法律、行政法规规定的其他条件的证明材料；</w:t>
      </w:r>
    </w:p>
    <w:p>
      <w:pPr>
        <w:numPr>
          <w:ilvl w:val="0"/>
          <w:numId w:val="8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sz w:val="24"/>
          <w:szCs w:val="24"/>
        </w:rPr>
        <w:t xml:space="preserve">  </w:t>
      </w:r>
      <w:r>
        <w:rPr>
          <w:rFonts w:hint="eastAsia" w:ascii="宋体" w:hAnsi="宋体"/>
          <w:sz w:val="24"/>
          <w:szCs w:val="24"/>
          <w:lang w:val="zh-CN"/>
        </w:rPr>
        <w:t>未被</w:t>
      </w:r>
      <w:r>
        <w:rPr>
          <w:rFonts w:hint="eastAsia" w:ascii="宋体" w:hAnsi="宋体"/>
          <w:sz w:val="24"/>
          <w:szCs w:val="24"/>
        </w:rPr>
        <w:t>“</w:t>
      </w:r>
      <w:r>
        <w:rPr>
          <w:rFonts w:hint="eastAsia" w:ascii="宋体" w:hAnsi="宋体"/>
          <w:sz w:val="24"/>
          <w:szCs w:val="24"/>
          <w:lang w:val="zh-CN"/>
        </w:rPr>
        <w:t>信用中国</w:t>
      </w:r>
      <w:r>
        <w:rPr>
          <w:rFonts w:hint="eastAsia" w:ascii="宋体" w:hAnsi="宋体"/>
          <w:sz w:val="24"/>
          <w:szCs w:val="24"/>
        </w:rPr>
        <w:t>”</w:t>
      </w:r>
      <w:r>
        <w:rPr>
          <w:rFonts w:hint="eastAsia" w:ascii="宋体" w:hAnsi="宋体"/>
          <w:sz w:val="24"/>
          <w:szCs w:val="24"/>
          <w:lang w:val="zh-CN"/>
        </w:rPr>
        <w:t>网站</w:t>
      </w:r>
      <w:r>
        <w:rPr>
          <w:rFonts w:hint="eastAsia" w:ascii="宋体" w:hAnsi="宋体"/>
          <w:sz w:val="24"/>
          <w:szCs w:val="24"/>
        </w:rPr>
        <w:t>(www.creditchina.gov.cn)</w:t>
      </w:r>
      <w:r>
        <w:rPr>
          <w:rFonts w:hint="eastAsia" w:ascii="宋体" w:hAnsi="宋体"/>
          <w:sz w:val="24"/>
          <w:szCs w:val="24"/>
          <w:lang w:val="zh-CN"/>
        </w:rPr>
        <w:t>列入失信被执行人、重大税收违法案件当事人名单</w:t>
      </w:r>
      <w:r>
        <w:rPr>
          <w:rFonts w:hint="eastAsia" w:ascii="宋体" w:hAnsi="宋体" w:eastAsia="宋体" w:cs="Times New Roman"/>
          <w:sz w:val="24"/>
          <w:szCs w:val="24"/>
          <w:lang w:val="zh-CN"/>
        </w:rPr>
        <w:t>的书面申明及该网站查询结果页面截图</w:t>
      </w:r>
      <w:r>
        <w:rPr>
          <w:rFonts w:hint="eastAsia" w:ascii="宋体" w:hAnsi="宋体"/>
          <w:sz w:val="24"/>
          <w:szCs w:val="24"/>
        </w:rPr>
        <w:t>；未被“中国政府采购网”（www.ccgp.gov.cn）列入政府采购严重违法失信行为记录名单</w:t>
      </w:r>
      <w:r>
        <w:rPr>
          <w:rFonts w:hint="eastAsia" w:ascii="宋体" w:hAnsi="宋体" w:eastAsia="宋体" w:cs="Times New Roman"/>
          <w:sz w:val="24"/>
          <w:szCs w:val="24"/>
          <w:lang w:val="zh-CN"/>
        </w:rPr>
        <w:t>的书面申明及该网站查询结果页面截图</w:t>
      </w:r>
      <w:r>
        <w:rPr>
          <w:rFonts w:hint="eastAsia" w:ascii="宋体" w:hAnsi="宋体"/>
          <w:sz w:val="24"/>
          <w:szCs w:val="24"/>
          <w:lang w:val="zh-CN"/>
        </w:rPr>
        <w:t>。</w:t>
      </w:r>
    </w:p>
    <w:p>
      <w:pPr>
        <w:numPr>
          <w:ilvl w:val="0"/>
          <w:numId w:val="8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招标文件第一章“投标人资格要求”中有特殊要求的，投标人应提供其符合特殊要求的证明材料或者情况说明；</w:t>
      </w:r>
    </w:p>
    <w:p>
      <w:pPr>
        <w:numPr>
          <w:ilvl w:val="0"/>
          <w:numId w:val="81"/>
        </w:numPr>
        <w:autoSpaceDE w:val="0"/>
        <w:autoSpaceDN w:val="0"/>
        <w:adjustRightInd w:val="0"/>
        <w:spacing w:line="360" w:lineRule="auto"/>
        <w:ind w:left="490" w:hanging="370"/>
        <w:rPr>
          <w:rFonts w:ascii="宋体" w:hAnsi="宋体" w:eastAsia="宋体" w:cs="Courier New"/>
          <w:sz w:val="24"/>
          <w:szCs w:val="24"/>
        </w:rPr>
      </w:pPr>
      <w:r>
        <w:rPr>
          <w:rFonts w:hint="eastAsia" w:ascii="宋体" w:hAnsi="宋体" w:eastAsia="宋体" w:cs="Courier New"/>
          <w:sz w:val="24"/>
          <w:szCs w:val="24"/>
        </w:rPr>
        <w:t>不符合联合体投标相关规定和要</w:t>
      </w:r>
      <w:r>
        <w:rPr>
          <w:rFonts w:hint="eastAsia" w:ascii="宋体" w:hAnsi="宋体" w:eastAsia="宋体" w:cs="Courier New"/>
          <w:color w:val="0D0D0D"/>
          <w:sz w:val="24"/>
          <w:szCs w:val="24"/>
        </w:rPr>
        <w:t>求的（适用于接受联合体投标的项目）；</w:t>
      </w:r>
    </w:p>
    <w:p>
      <w:pPr>
        <w:numPr>
          <w:ilvl w:val="0"/>
          <w:numId w:val="81"/>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0D0D0D"/>
          <w:sz w:val="24"/>
          <w:szCs w:val="24"/>
        </w:rPr>
      </w:pPr>
    </w:p>
    <w:p>
      <w:pPr>
        <w:autoSpaceDE w:val="0"/>
        <w:autoSpaceDN w:val="0"/>
        <w:adjustRightInd w:val="0"/>
        <w:spacing w:line="400" w:lineRule="exact"/>
        <w:ind w:left="490"/>
        <w:rPr>
          <w:rFonts w:ascii="Calibri" w:hAnsi="宋体" w:eastAsia="宋体" w:cs="Times New Roman"/>
          <w:color w:val="0D0D0D"/>
          <w:sz w:val="24"/>
          <w:szCs w:val="24"/>
        </w:rPr>
      </w:pPr>
    </w:p>
    <w:p>
      <w:r>
        <w:rPr>
          <w:rFonts w:hint="eastAsia" w:ascii="宋体" w:hAnsi="宋体" w:eastAsia="宋体" w:cs="Times New Roman"/>
          <w:sz w:val="24"/>
          <w:szCs w:val="24"/>
        </w:rPr>
        <w:t>说明：资格证明文件正本应为清晰彩色影印件且加盖单位公章，否则</w:t>
      </w:r>
      <w:r>
        <w:rPr>
          <w:rFonts w:hint="eastAsia" w:ascii="Helvetica" w:hAnsi="Helvetica" w:eastAsia="宋体" w:cs="Helvetica"/>
          <w:kern w:val="0"/>
          <w:sz w:val="24"/>
          <w:szCs w:val="24"/>
        </w:rPr>
        <w:t>按照无效投标处理</w:t>
      </w:r>
      <w:r>
        <w:rPr>
          <w:rFonts w:hint="eastAsia" w:ascii="宋体" w:hAnsi="宋体" w:eastAsia="宋体" w:cs="Times New Roman"/>
          <w:sz w:val="24"/>
          <w:szCs w:val="24"/>
        </w:rPr>
        <w:t>。</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97" w:name="_Toc494702267"/>
      <w:bookmarkStart w:id="98" w:name="_Toc494665550"/>
      <w:bookmarkStart w:id="99" w:name="_Toc494745314"/>
      <w:bookmarkStart w:id="100" w:name="_Toc494664997"/>
      <w:bookmarkStart w:id="101" w:name="_Toc494721097"/>
      <w:bookmarkStart w:id="102" w:name="_Toc494665947"/>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bookmarkStart w:id="103" w:name="_Toc48230912"/>
      <w:r>
        <w:rPr>
          <w:rFonts w:hint="eastAsia" w:cs="Times New Roman" w:asciiTheme="majorEastAsia" w:hAnsiTheme="majorEastAsia"/>
          <w:bCs w:val="0"/>
          <w:sz w:val="44"/>
          <w:szCs w:val="44"/>
          <w:lang w:val="zh-CN"/>
        </w:rPr>
        <w:t>第二部分 商务文件</w:t>
      </w:r>
      <w:bookmarkEnd w:id="97"/>
      <w:bookmarkEnd w:id="98"/>
      <w:bookmarkEnd w:id="99"/>
      <w:bookmarkEnd w:id="100"/>
      <w:bookmarkEnd w:id="101"/>
      <w:bookmarkEnd w:id="102"/>
      <w:bookmarkEnd w:id="103"/>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二0二</w:t>
      </w:r>
      <w:r>
        <w:rPr>
          <w:rFonts w:hint="eastAsia" w:ascii="宋体" w:hAnsi="宋体"/>
          <w:b/>
          <w:sz w:val="36"/>
          <w:szCs w:val="36"/>
        </w:rPr>
        <w:t xml:space="preserve">  年 月</w:t>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04" w:name="_Toc494665948"/>
      <w:bookmarkStart w:id="105" w:name="_Toc494665551"/>
      <w:bookmarkStart w:id="106" w:name="_Toc494745315"/>
      <w:bookmarkStart w:id="107" w:name="_Toc494721098"/>
      <w:bookmarkStart w:id="108" w:name="_Toc494702268"/>
      <w:bookmarkStart w:id="109" w:name="_Toc494664998"/>
      <w:r>
        <w:rPr>
          <w:rFonts w:hint="eastAsia" w:ascii="黑体" w:hAnsi="黑体" w:eastAsia="黑体" w:cs="Times New Roman"/>
          <w:b/>
          <w:sz w:val="36"/>
          <w:szCs w:val="36"/>
        </w:rPr>
        <w:t>商务文件组成</w:t>
      </w:r>
      <w:bookmarkEnd w:id="104"/>
      <w:bookmarkEnd w:id="105"/>
      <w:bookmarkEnd w:id="106"/>
      <w:bookmarkEnd w:id="107"/>
      <w:bookmarkEnd w:id="108"/>
      <w:bookmarkEnd w:id="109"/>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83"/>
        </w:numPr>
        <w:autoSpaceDE w:val="0"/>
        <w:autoSpaceDN w:val="0"/>
        <w:adjustRightInd w:val="0"/>
        <w:spacing w:line="360" w:lineRule="auto"/>
        <w:ind w:left="490" w:hanging="370"/>
        <w:rPr>
          <w:rFonts w:ascii="宋体" w:hAnsi="宋体" w:eastAsia="宋体" w:cs="Times New Roman"/>
          <w:bCs/>
          <w:kern w:val="0"/>
          <w:sz w:val="24"/>
          <w:szCs w:val="32"/>
        </w:rPr>
      </w:pPr>
      <w:r>
        <w:rPr>
          <w:rFonts w:hint="eastAsia" w:ascii="宋体" w:hAnsi="宋体" w:eastAsia="宋体" w:cs="Times New Roman"/>
          <w:kern w:val="0"/>
          <w:sz w:val="24"/>
          <w:szCs w:val="32"/>
        </w:rPr>
        <w:t>商务文件目录</w:t>
      </w:r>
      <w:r>
        <w:rPr>
          <w:rFonts w:hint="eastAsia" w:ascii="宋体" w:hAnsi="宋体" w:eastAsia="宋体" w:cs="Times New Roman"/>
          <w:bCs/>
          <w:kern w:val="0"/>
          <w:sz w:val="24"/>
          <w:szCs w:val="32"/>
        </w:rPr>
        <w:t>（目录应涵盖下述所有资料，页码清晰以便查阅）；</w:t>
      </w:r>
    </w:p>
    <w:p>
      <w:pPr>
        <w:numPr>
          <w:ilvl w:val="0"/>
          <w:numId w:val="83"/>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投标书（附件一）；</w:t>
      </w:r>
    </w:p>
    <w:p>
      <w:pPr>
        <w:numPr>
          <w:ilvl w:val="0"/>
          <w:numId w:val="83"/>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制造商中小企业声明函（附件二）；</w:t>
      </w:r>
    </w:p>
    <w:p>
      <w:pPr>
        <w:numPr>
          <w:ilvl w:val="0"/>
          <w:numId w:val="83"/>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kern w:val="0"/>
          <w:sz w:val="24"/>
          <w:szCs w:val="32"/>
        </w:rPr>
        <w:t>中小企业声</w:t>
      </w:r>
      <w:r>
        <w:rPr>
          <w:rFonts w:hint="eastAsia" w:ascii="宋体" w:hAnsi="宋体" w:eastAsia="宋体" w:cs="Times New Roman"/>
          <w:color w:val="0D0D0D"/>
          <w:kern w:val="0"/>
          <w:sz w:val="24"/>
          <w:szCs w:val="32"/>
        </w:rPr>
        <w:t>明函（附件三）；</w:t>
      </w:r>
    </w:p>
    <w:p>
      <w:pPr>
        <w:numPr>
          <w:ilvl w:val="0"/>
          <w:numId w:val="83"/>
        </w:numPr>
        <w:autoSpaceDE w:val="0"/>
        <w:autoSpaceDN w:val="0"/>
        <w:adjustRightInd w:val="0"/>
        <w:spacing w:line="360" w:lineRule="auto"/>
        <w:ind w:left="490" w:hanging="37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残疾人福利性单位声明函（附件四）</w:t>
      </w:r>
    </w:p>
    <w:p>
      <w:pPr>
        <w:numPr>
          <w:ilvl w:val="0"/>
          <w:numId w:val="83"/>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开标一览表（附件五）；</w:t>
      </w:r>
    </w:p>
    <w:p>
      <w:pPr>
        <w:numPr>
          <w:ilvl w:val="0"/>
          <w:numId w:val="83"/>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投标报价明细表（附件六）；</w:t>
      </w:r>
    </w:p>
    <w:p>
      <w:pPr>
        <w:numPr>
          <w:ilvl w:val="0"/>
          <w:numId w:val="83"/>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小型和微型企业、监狱企业、残疾人福利性单位货物汇总表（附件七）；</w:t>
      </w:r>
    </w:p>
    <w:p>
      <w:pPr>
        <w:numPr>
          <w:ilvl w:val="0"/>
          <w:numId w:val="83"/>
        </w:numPr>
        <w:autoSpaceDE w:val="0"/>
        <w:autoSpaceDN w:val="0"/>
        <w:adjustRightInd w:val="0"/>
        <w:spacing w:line="360" w:lineRule="auto"/>
        <w:ind w:left="490" w:hanging="370"/>
        <w:rPr>
          <w:rFonts w:ascii="宋体" w:hAnsi="宋体" w:eastAsia="宋体" w:cs="Courier New"/>
          <w:color w:val="0D0D0D"/>
          <w:sz w:val="24"/>
          <w:szCs w:val="24"/>
        </w:rPr>
      </w:pPr>
      <w:r>
        <w:rPr>
          <w:rFonts w:hint="eastAsia" w:ascii="宋体" w:hAnsi="宋体" w:eastAsia="宋体" w:cs="Courier New"/>
          <w:color w:val="0D0D0D"/>
          <w:sz w:val="24"/>
          <w:szCs w:val="24"/>
        </w:rPr>
        <w:t>投标货物、服务清单（附件八）；</w:t>
      </w:r>
    </w:p>
    <w:p>
      <w:pPr>
        <w:numPr>
          <w:ilvl w:val="0"/>
          <w:numId w:val="8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法定代表人授权书（附件九）；</w:t>
      </w:r>
    </w:p>
    <w:p>
      <w:pPr>
        <w:numPr>
          <w:ilvl w:val="0"/>
          <w:numId w:val="8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关于不存在招标文件第二章“十一 其他注意事项”中规定禁止情形的书面声明；</w:t>
      </w:r>
    </w:p>
    <w:p>
      <w:pPr>
        <w:numPr>
          <w:ilvl w:val="0"/>
          <w:numId w:val="8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投标人的资格声明（附件十）；</w:t>
      </w:r>
    </w:p>
    <w:p>
      <w:pPr>
        <w:numPr>
          <w:ilvl w:val="0"/>
          <w:numId w:val="8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项目负责人、技术负责人简历表（附件十一）；</w:t>
      </w:r>
    </w:p>
    <w:p>
      <w:pPr>
        <w:numPr>
          <w:ilvl w:val="0"/>
          <w:numId w:val="8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项目班子成员情况表（附件十二）；</w:t>
      </w:r>
    </w:p>
    <w:p>
      <w:pPr>
        <w:numPr>
          <w:ilvl w:val="0"/>
          <w:numId w:val="8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投标人类似项目业绩表（附件十三）；</w:t>
      </w:r>
    </w:p>
    <w:p>
      <w:pPr>
        <w:numPr>
          <w:ilvl w:val="0"/>
          <w:numId w:val="8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招标文件要求提供或投标人认为需提供的其它资料；</w:t>
      </w:r>
    </w:p>
    <w:p>
      <w:pPr>
        <w:numPr>
          <w:ilvl w:val="0"/>
          <w:numId w:val="8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符合性审查对照表（附件十四）；</w:t>
      </w:r>
    </w:p>
    <w:p>
      <w:pPr>
        <w:numPr>
          <w:ilvl w:val="0"/>
          <w:numId w:val="8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商务要求响应、偏离说明表（附件十五）；</w:t>
      </w:r>
    </w:p>
    <w:p>
      <w:pPr>
        <w:numPr>
          <w:ilvl w:val="0"/>
          <w:numId w:val="8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商务要求“★”号条款响应、偏离说明表（附件十六）</w:t>
      </w:r>
    </w:p>
    <w:p>
      <w:pPr>
        <w:numPr>
          <w:ilvl w:val="0"/>
          <w:numId w:val="83"/>
        </w:numPr>
        <w:autoSpaceDE w:val="0"/>
        <w:autoSpaceDN w:val="0"/>
        <w:adjustRightInd w:val="0"/>
        <w:spacing w:line="360" w:lineRule="auto"/>
        <w:ind w:left="616" w:hanging="496"/>
        <w:rPr>
          <w:rFonts w:ascii="宋体" w:hAnsi="宋体" w:eastAsia="宋体" w:cs="Courier New"/>
          <w:color w:val="0D0D0D"/>
          <w:sz w:val="24"/>
          <w:szCs w:val="24"/>
        </w:rPr>
      </w:pPr>
      <w:r>
        <w:rPr>
          <w:rFonts w:hint="eastAsia" w:ascii="宋体" w:hAnsi="宋体" w:eastAsia="宋体" w:cs="Courier New"/>
          <w:color w:val="0D0D0D"/>
          <w:sz w:val="24"/>
          <w:szCs w:val="24"/>
        </w:rPr>
        <w:t>商务评议对照表（附件十七）。</w:t>
      </w:r>
    </w:p>
    <w:p>
      <w:r>
        <w:br w:type="page"/>
      </w:r>
    </w:p>
    <w:p>
      <w:pPr>
        <w:spacing w:beforeLines="100" w:afterLines="250"/>
        <w:jc w:val="center"/>
        <w:rPr>
          <w:rFonts w:ascii="黑体" w:hAnsi="黑体" w:eastAsia="黑体"/>
          <w:b/>
          <w:sz w:val="72"/>
          <w:szCs w:val="72"/>
        </w:rPr>
      </w:pPr>
      <w:r>
        <w:rPr>
          <w:rFonts w:hint="eastAsia" w:ascii="黑体" w:hAnsi="黑体" w:eastAsia="黑体"/>
          <w:b/>
          <w:sz w:val="72"/>
          <w:szCs w:val="72"/>
        </w:rPr>
        <w:t>阳新县县级政府采购</w:t>
      </w:r>
    </w:p>
    <w:p>
      <w:pPr>
        <w:spacing w:afterLines="200"/>
        <w:jc w:val="center"/>
        <w:rPr>
          <w:rFonts w:ascii="黑体" w:hAnsi="黑体" w:eastAsia="黑体"/>
          <w:b/>
          <w:sz w:val="144"/>
          <w:szCs w:val="144"/>
        </w:rPr>
      </w:pPr>
      <w:r>
        <w:rPr>
          <w:rFonts w:hint="eastAsia" w:ascii="黑体" w:hAnsi="黑体" w:eastAsia="黑体"/>
          <w:b/>
          <w:sz w:val="144"/>
          <w:szCs w:val="144"/>
        </w:rPr>
        <w:t>投 标 文 件</w:t>
      </w:r>
    </w:p>
    <w:p>
      <w:pPr>
        <w:pStyle w:val="3"/>
        <w:spacing w:before="340" w:after="480" w:line="360" w:lineRule="auto"/>
        <w:jc w:val="center"/>
        <w:rPr>
          <w:rFonts w:cs="Times New Roman" w:asciiTheme="majorEastAsia" w:hAnsiTheme="majorEastAsia"/>
          <w:bCs w:val="0"/>
          <w:sz w:val="44"/>
          <w:szCs w:val="44"/>
          <w:lang w:val="zh-CN"/>
        </w:rPr>
      </w:pPr>
      <w:bookmarkStart w:id="110" w:name="_Toc494665552"/>
      <w:bookmarkStart w:id="111" w:name="_Toc494702269"/>
      <w:bookmarkStart w:id="112" w:name="_Toc494665949"/>
      <w:bookmarkStart w:id="113" w:name="_Toc494664999"/>
      <w:bookmarkStart w:id="114" w:name="_Toc494721099"/>
      <w:bookmarkStart w:id="115" w:name="_Toc494745316"/>
    </w:p>
    <w:p>
      <w:pPr>
        <w:pStyle w:val="3"/>
        <w:spacing w:before="340" w:after="480" w:line="360" w:lineRule="auto"/>
        <w:jc w:val="center"/>
        <w:rPr>
          <w:rFonts w:cs="Times New Roman" w:asciiTheme="majorEastAsia" w:hAnsiTheme="majorEastAsia"/>
          <w:bCs w:val="0"/>
          <w:sz w:val="44"/>
          <w:szCs w:val="44"/>
          <w:lang w:val="zh-CN"/>
        </w:rPr>
      </w:pPr>
    </w:p>
    <w:p>
      <w:pPr>
        <w:pStyle w:val="3"/>
        <w:spacing w:before="340" w:after="480" w:line="360" w:lineRule="auto"/>
        <w:jc w:val="center"/>
        <w:rPr>
          <w:rFonts w:cs="Times New Roman" w:asciiTheme="majorEastAsia" w:hAnsiTheme="majorEastAsia"/>
          <w:bCs w:val="0"/>
          <w:sz w:val="44"/>
          <w:szCs w:val="44"/>
          <w:lang w:val="zh-CN"/>
        </w:rPr>
      </w:pPr>
      <w:bookmarkStart w:id="116" w:name="_Toc48230913"/>
      <w:r>
        <w:rPr>
          <w:rFonts w:hint="eastAsia" w:cs="Times New Roman" w:asciiTheme="majorEastAsia" w:hAnsiTheme="majorEastAsia"/>
          <w:bCs w:val="0"/>
          <w:sz w:val="44"/>
          <w:szCs w:val="44"/>
          <w:lang w:val="zh-CN"/>
        </w:rPr>
        <w:t>第三部分 技术、服务文件</w:t>
      </w:r>
      <w:bookmarkEnd w:id="110"/>
      <w:bookmarkEnd w:id="111"/>
      <w:bookmarkEnd w:id="112"/>
      <w:bookmarkEnd w:id="113"/>
      <w:bookmarkEnd w:id="114"/>
      <w:bookmarkEnd w:id="115"/>
      <w:bookmarkEnd w:id="116"/>
    </w:p>
    <w:p>
      <w:pPr>
        <w:spacing w:line="360" w:lineRule="auto"/>
        <w:ind w:left="2051" w:leftChars="619" w:right="1299" w:rightChars="619" w:hanging="752" w:hangingChars="209"/>
        <w:rPr>
          <w:rFonts w:cs="Times New Roman" w:asciiTheme="minorEastAsia" w:hAnsiTheme="minorEastAsia"/>
          <w:bCs/>
          <w:sz w:val="36"/>
          <w:szCs w:val="24"/>
        </w:rPr>
      </w:pPr>
      <w:r>
        <w:rPr>
          <w:rFonts w:hint="eastAsia" w:cs="Times New Roman" w:asciiTheme="minorEastAsia" w:hAnsiTheme="minorEastAsia"/>
          <w:b/>
          <w:bCs/>
          <w:sz w:val="36"/>
          <w:szCs w:val="24"/>
        </w:rPr>
        <w:t>项目编号：</w:t>
      </w:r>
    </w:p>
    <w:p>
      <w:pPr>
        <w:spacing w:line="360" w:lineRule="auto"/>
        <w:ind w:left="2051" w:leftChars="619" w:right="1299" w:rightChars="619" w:hanging="752" w:hangingChars="209"/>
        <w:rPr>
          <w:rFonts w:cs="Times New Roman" w:asciiTheme="minorEastAsia" w:hAnsiTheme="minorEastAsia"/>
          <w:b/>
          <w:bCs/>
          <w:sz w:val="36"/>
          <w:szCs w:val="24"/>
        </w:rPr>
      </w:pPr>
      <w:r>
        <w:rPr>
          <w:rFonts w:hint="eastAsia" w:cs="Times New Roman" w:asciiTheme="minorEastAsia" w:hAnsiTheme="minorEastAsia"/>
          <w:b/>
          <w:bCs/>
          <w:sz w:val="36"/>
          <w:szCs w:val="24"/>
        </w:rPr>
        <w:t>项目名称：</w:t>
      </w:r>
    </w:p>
    <w:p>
      <w:pPr>
        <w:spacing w:line="360" w:lineRule="auto"/>
        <w:ind w:left="2051" w:leftChars="619" w:right="1299" w:rightChars="619" w:hanging="752" w:hangingChars="209"/>
        <w:rPr>
          <w:rFonts w:cs="Times New Roman" w:asciiTheme="minorEastAsia" w:hAnsiTheme="minorEastAsia"/>
          <w:bCs/>
          <w:sz w:val="36"/>
          <w:szCs w:val="24"/>
          <w:lang w:val="zh-CN"/>
        </w:rPr>
      </w:pPr>
      <w:r>
        <w:rPr>
          <w:rFonts w:hint="eastAsia" w:cs="Times New Roman" w:asciiTheme="minorEastAsia" w:hAnsiTheme="minorEastAsia"/>
          <w:b/>
          <w:bCs/>
          <w:sz w:val="36"/>
          <w:szCs w:val="24"/>
        </w:rPr>
        <w:t>采购人：</w:t>
      </w:r>
    </w:p>
    <w:p>
      <w:pPr>
        <w:spacing w:line="360" w:lineRule="auto"/>
        <w:ind w:left="2051" w:leftChars="619" w:right="1299" w:rightChars="619" w:hanging="752" w:hangingChars="209"/>
        <w:rPr>
          <w:rFonts w:cs="Times New Roman" w:asciiTheme="minorEastAsia" w:hAnsiTheme="minorEastAsia"/>
          <w:sz w:val="36"/>
          <w:szCs w:val="36"/>
        </w:rPr>
      </w:pPr>
      <w:r>
        <w:rPr>
          <w:rFonts w:hint="eastAsia" w:cs="Times New Roman" w:asciiTheme="minorEastAsia" w:hAnsiTheme="minorEastAsia"/>
          <w:b/>
          <w:bCs/>
          <w:sz w:val="36"/>
          <w:szCs w:val="24"/>
        </w:rPr>
        <w:t>采购内容：</w:t>
      </w:r>
    </w:p>
    <w:p>
      <w:pPr>
        <w:spacing w:line="360" w:lineRule="auto"/>
        <w:ind w:left="2057" w:leftChars="613" w:right="1287" w:rightChars="613" w:hanging="770" w:hangingChars="214"/>
        <w:rPr>
          <w:rFonts w:ascii="宋体" w:hAnsi="宋体" w:eastAsia="宋体" w:cs="Times New Roman"/>
          <w:sz w:val="36"/>
          <w:szCs w:val="36"/>
        </w:rPr>
      </w:pPr>
    </w:p>
    <w:p>
      <w:pPr>
        <w:spacing w:line="360" w:lineRule="auto"/>
        <w:ind w:left="3341" w:leftChars="613" w:right="1287" w:rightChars="613" w:hanging="2054" w:hangingChars="214"/>
        <w:rPr>
          <w:rFonts w:cs="Times New Roman" w:asciiTheme="minorEastAsia" w:hAnsiTheme="minorEastAsia"/>
          <w:b/>
          <w:bCs/>
          <w:sz w:val="96"/>
          <w:szCs w:val="96"/>
        </w:rPr>
      </w:pPr>
      <w:r>
        <w:rPr>
          <w:rFonts w:hint="eastAsia" w:cs="Times New Roman" w:asciiTheme="minorEastAsia" w:hAnsiTheme="minorEastAsia"/>
          <w:b/>
          <w:bCs/>
          <w:sz w:val="96"/>
          <w:szCs w:val="96"/>
        </w:rPr>
        <w:t>投标人（盖章）</w:t>
      </w:r>
    </w:p>
    <w:p>
      <w:pPr>
        <w:spacing w:line="360" w:lineRule="auto"/>
        <w:ind w:left="1971" w:leftChars="613" w:right="1287" w:rightChars="613" w:hanging="684" w:hangingChars="214"/>
        <w:rPr>
          <w:rFonts w:cs="Times New Roman" w:asciiTheme="minorEastAsia" w:hAnsiTheme="minorEastAsia"/>
          <w:b/>
          <w:bCs/>
          <w:sz w:val="32"/>
          <w:szCs w:val="32"/>
        </w:rPr>
      </w:pPr>
      <w:r>
        <w:rPr>
          <w:rFonts w:hint="eastAsia" w:cs="Times New Roman" w:asciiTheme="minorEastAsia" w:hAnsiTheme="minorEastAsia"/>
          <w:b/>
          <w:bCs/>
          <w:sz w:val="32"/>
          <w:szCs w:val="32"/>
        </w:rPr>
        <w:t>投标人授权代表（签字）：</w:t>
      </w:r>
    </w:p>
    <w:p>
      <w:pPr>
        <w:spacing w:beforeLines="100" w:afterLines="100" w:line="360" w:lineRule="auto"/>
        <w:ind w:left="2256" w:leftChars="466" w:right="466" w:hanging="1278" w:hangingChars="355"/>
        <w:jc w:val="center"/>
        <w:rPr>
          <w:rFonts w:ascii="宋体" w:hAnsi="宋体"/>
          <w:b/>
          <w:sz w:val="36"/>
          <w:szCs w:val="36"/>
        </w:rPr>
      </w:pPr>
      <w:r>
        <w:rPr>
          <w:rFonts w:hint="eastAsia" w:ascii="宋体" w:hAnsi="宋体" w:eastAsia="宋体" w:cs="Times New Roman"/>
          <w:b/>
          <w:bCs/>
          <w:sz w:val="36"/>
          <w:szCs w:val="36"/>
        </w:rPr>
        <w:t>二0二</w:t>
      </w:r>
      <w:r>
        <w:rPr>
          <w:rFonts w:hint="eastAsia" w:ascii="宋体" w:hAnsi="宋体"/>
          <w:b/>
          <w:sz w:val="36"/>
          <w:szCs w:val="36"/>
        </w:rPr>
        <w:t xml:space="preserve">  年 月</w:t>
      </w:r>
    </w:p>
    <w:p>
      <w:r>
        <w:br w:type="page"/>
      </w:r>
    </w:p>
    <w:p>
      <w:pPr>
        <w:spacing w:beforeLines="100" w:line="360" w:lineRule="auto"/>
        <w:jc w:val="left"/>
        <w:rPr>
          <w:rFonts w:ascii="宋体" w:hAnsi="宋体" w:eastAsia="宋体" w:cs="Times New Roman"/>
          <w:b/>
          <w:bCs/>
          <w:sz w:val="30"/>
          <w:szCs w:val="30"/>
          <w:lang w:val="zh-CN"/>
        </w:rPr>
      </w:pPr>
      <w:r>
        <w:rPr>
          <w:rFonts w:hint="eastAsia" w:ascii="宋体" w:hAnsi="宋体" w:eastAsia="宋体" w:cs="Times New Roman"/>
          <w:b/>
          <w:bCs/>
          <w:sz w:val="30"/>
          <w:szCs w:val="30"/>
          <w:lang w:val="zh-CN"/>
        </w:rPr>
        <w:t>格式（参考）说明：</w:t>
      </w:r>
    </w:p>
    <w:p>
      <w:pPr>
        <w:spacing w:before="120" w:after="120" w:line="578" w:lineRule="auto"/>
        <w:jc w:val="center"/>
        <w:rPr>
          <w:rFonts w:ascii="黑体" w:hAnsi="黑体" w:eastAsia="黑体" w:cs="Times New Roman"/>
          <w:b/>
          <w:sz w:val="36"/>
          <w:szCs w:val="36"/>
        </w:rPr>
      </w:pPr>
      <w:bookmarkStart w:id="117" w:name="_Toc494665950"/>
      <w:bookmarkStart w:id="118" w:name="_Toc494665000"/>
      <w:bookmarkStart w:id="119" w:name="_Toc494721100"/>
      <w:bookmarkStart w:id="120" w:name="_Toc494702270"/>
      <w:bookmarkStart w:id="121" w:name="_Toc494665553"/>
      <w:bookmarkStart w:id="122" w:name="_Toc494745317"/>
      <w:r>
        <w:rPr>
          <w:rFonts w:hint="eastAsia" w:ascii="黑体" w:hAnsi="黑体" w:eastAsia="黑体" w:cs="Times New Roman"/>
          <w:b/>
          <w:bCs/>
          <w:sz w:val="36"/>
          <w:szCs w:val="36"/>
          <w:lang w:val="zh-CN"/>
        </w:rPr>
        <w:t>技术</w:t>
      </w:r>
      <w:r>
        <w:rPr>
          <w:rFonts w:hint="eastAsia" w:ascii="黑体" w:hAnsi="黑体" w:eastAsia="黑体" w:cs="Times New Roman"/>
          <w:b/>
          <w:sz w:val="36"/>
          <w:szCs w:val="36"/>
        </w:rPr>
        <w:t>、服务文件组成</w:t>
      </w:r>
      <w:bookmarkEnd w:id="117"/>
      <w:bookmarkEnd w:id="118"/>
      <w:bookmarkEnd w:id="119"/>
      <w:bookmarkEnd w:id="120"/>
      <w:bookmarkEnd w:id="121"/>
      <w:bookmarkEnd w:id="122"/>
    </w:p>
    <w:p>
      <w:pPr>
        <w:autoSpaceDE w:val="0"/>
        <w:autoSpaceDN w:val="0"/>
        <w:adjustRightInd w:val="0"/>
        <w:spacing w:beforeLines="50" w:afterLines="50" w:line="360" w:lineRule="auto"/>
        <w:ind w:firstLine="480" w:firstLineChars="200"/>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8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技术、服务文件目录（目录应涵盖下述所有资料，页码清晰以便查阅）；</w:t>
      </w:r>
    </w:p>
    <w:p>
      <w:pPr>
        <w:numPr>
          <w:ilvl w:val="0"/>
          <w:numId w:val="84"/>
        </w:numPr>
        <w:autoSpaceDE w:val="0"/>
        <w:autoSpaceDN w:val="0"/>
        <w:adjustRightInd w:val="0"/>
        <w:spacing w:line="360" w:lineRule="auto"/>
        <w:ind w:left="488" w:hanging="369"/>
        <w:rPr>
          <w:rFonts w:ascii="宋体" w:hAnsi="宋体" w:eastAsia="宋体" w:cs="Times New Roman"/>
          <w:kern w:val="0"/>
          <w:sz w:val="24"/>
          <w:szCs w:val="32"/>
        </w:rPr>
      </w:pPr>
      <w:r>
        <w:rPr>
          <w:rFonts w:hint="eastAsia" w:ascii="宋体" w:hAnsi="宋体" w:eastAsia="宋体" w:cs="Times New Roman"/>
          <w:kern w:val="0"/>
          <w:sz w:val="24"/>
          <w:szCs w:val="32"/>
        </w:rPr>
        <w:t>投标货物（工程或服务）介绍，项目建设（服务）方案；</w:t>
      </w:r>
    </w:p>
    <w:p>
      <w:pPr>
        <w:numPr>
          <w:ilvl w:val="0"/>
          <w:numId w:val="8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技术、服务要求响应、偏离说明表（附件十八）；</w:t>
      </w:r>
    </w:p>
    <w:p>
      <w:pPr>
        <w:numPr>
          <w:ilvl w:val="0"/>
          <w:numId w:val="8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技术、服务要求“★”号条款响应、偏离说明表（附件十九）；</w:t>
      </w:r>
    </w:p>
    <w:p>
      <w:pPr>
        <w:numPr>
          <w:ilvl w:val="0"/>
          <w:numId w:val="8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技术、服务评议对照表（附件二十）；</w:t>
      </w:r>
    </w:p>
    <w:p>
      <w:pPr>
        <w:numPr>
          <w:ilvl w:val="0"/>
          <w:numId w:val="84"/>
        </w:numPr>
        <w:autoSpaceDE w:val="0"/>
        <w:autoSpaceDN w:val="0"/>
        <w:adjustRightInd w:val="0"/>
        <w:spacing w:line="360" w:lineRule="auto"/>
        <w:ind w:left="490" w:hanging="370"/>
        <w:rPr>
          <w:rFonts w:ascii="宋体" w:hAnsi="宋体" w:eastAsia="宋体" w:cs="Times New Roman"/>
          <w:kern w:val="0"/>
          <w:sz w:val="24"/>
          <w:szCs w:val="32"/>
        </w:rPr>
      </w:pPr>
      <w:r>
        <w:rPr>
          <w:rFonts w:hint="eastAsia" w:ascii="宋体" w:hAnsi="宋体" w:eastAsia="宋体" w:cs="Times New Roman"/>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0D0D0D"/>
          <w:kern w:val="0"/>
          <w:sz w:val="24"/>
          <w:szCs w:val="32"/>
        </w:rPr>
      </w:pPr>
      <w:r>
        <w:rPr>
          <w:rFonts w:hint="eastAsia" w:ascii="宋体" w:hAnsi="宋体" w:eastAsia="宋体" w:cs="Times New Roman"/>
          <w:color w:val="0D0D0D"/>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r>
        <w:br w:type="page"/>
      </w:r>
    </w:p>
    <w:p>
      <w:pPr>
        <w:pStyle w:val="3"/>
        <w:numPr>
          <w:ilvl w:val="0"/>
          <w:numId w:val="85"/>
        </w:numPr>
        <w:spacing w:before="100" w:beforeAutospacing="1" w:afterLines="50" w:line="360" w:lineRule="auto"/>
        <w:ind w:left="1288" w:hanging="1288"/>
        <w:rPr>
          <w:rFonts w:ascii="宋体" w:hAnsi="宋体" w:eastAsia="宋体"/>
        </w:rPr>
      </w:pPr>
      <w:bookmarkStart w:id="123" w:name="_Toc494665554"/>
      <w:bookmarkStart w:id="124" w:name="_Toc48230914"/>
      <w:bookmarkStart w:id="125" w:name="_Toc494665951"/>
      <w:bookmarkStart w:id="126" w:name="_Toc494721101"/>
      <w:bookmarkStart w:id="127" w:name="_Toc236473298"/>
      <w:bookmarkStart w:id="128" w:name="_Toc494745318"/>
      <w:bookmarkStart w:id="129" w:name="_Toc494702271"/>
      <w:bookmarkStart w:id="130" w:name="_Toc494665001"/>
      <w:bookmarkStart w:id="131" w:name="_Toc238276242"/>
      <w:r>
        <w:rPr>
          <w:rFonts w:hint="eastAsia" w:ascii="宋体" w:hAnsi="宋体" w:eastAsia="宋体"/>
        </w:rPr>
        <w:t>投标书</w:t>
      </w:r>
      <w:bookmarkEnd w:id="123"/>
      <w:bookmarkEnd w:id="124"/>
      <w:bookmarkEnd w:id="125"/>
      <w:bookmarkEnd w:id="126"/>
      <w:bookmarkEnd w:id="127"/>
      <w:bookmarkEnd w:id="128"/>
      <w:bookmarkEnd w:id="129"/>
      <w:bookmarkEnd w:id="130"/>
      <w:bookmarkEnd w:id="131"/>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Theme="minorEastAsia" w:hAnsiTheme="minorEastAsia"/>
          <w:color w:val="0C0C0C" w:themeColor="text1" w:themeTint="F2"/>
          <w:sz w:val="24"/>
          <w:szCs w:val="24"/>
        </w:rPr>
      </w:pPr>
      <w:r>
        <w:rPr>
          <w:rFonts w:hint="eastAsia" w:asciiTheme="minorEastAsia" w:hAnsiTheme="minorEastAsia"/>
          <w:color w:val="0C0C0C" w:themeColor="text1" w:themeTint="F2"/>
          <w:sz w:val="24"/>
          <w:szCs w:val="24"/>
        </w:rPr>
        <w:t>依据贵方___</w:t>
      </w:r>
      <w:r>
        <w:rPr>
          <w:rFonts w:hint="eastAsia" w:asciiTheme="minorEastAsia" w:hAnsiTheme="minorEastAsia"/>
          <w:color w:val="0C0C0C" w:themeColor="text1" w:themeTint="F2"/>
          <w:sz w:val="24"/>
          <w:szCs w:val="24"/>
          <w:u w:val="single"/>
        </w:rPr>
        <w:t xml:space="preserve">  _</w:t>
      </w:r>
      <w:r>
        <w:rPr>
          <w:rFonts w:hint="eastAsia" w:asciiTheme="minorEastAsia" w:hAnsiTheme="minorEastAsia"/>
          <w:color w:val="0C0C0C" w:themeColor="text1" w:themeTint="F2"/>
          <w:sz w:val="24"/>
          <w:szCs w:val="24"/>
        </w:rPr>
        <w:t>项目（项目编号：_____）招标的投标邀请，我方代表</w:t>
      </w:r>
      <w:r>
        <w:rPr>
          <w:rFonts w:hint="eastAsia" w:asciiTheme="minorEastAsia" w:hAnsiTheme="minorEastAsia"/>
          <w:color w:val="0C0C0C" w:themeColor="text1" w:themeTint="F2"/>
          <w:sz w:val="24"/>
          <w:szCs w:val="24"/>
          <w:u w:val="single"/>
        </w:rPr>
        <w:t>（姓名、职务）</w:t>
      </w:r>
      <w:r>
        <w:rPr>
          <w:rFonts w:hint="eastAsia" w:asciiTheme="minorEastAsia" w:hAnsiTheme="minorEastAsia"/>
          <w:color w:val="0C0C0C" w:themeColor="text1" w:themeTint="F2"/>
          <w:sz w:val="24"/>
          <w:szCs w:val="24"/>
        </w:rPr>
        <w:t>经正式授权并代表投标人</w:t>
      </w:r>
      <w:r>
        <w:rPr>
          <w:rFonts w:hint="eastAsia" w:asciiTheme="minorEastAsia" w:hAnsiTheme="minorEastAsia"/>
          <w:color w:val="0C0C0C" w:themeColor="text1" w:themeTint="F2"/>
          <w:sz w:val="24"/>
          <w:szCs w:val="24"/>
          <w:u w:val="single"/>
        </w:rPr>
        <w:t>（投标人全称 ）</w:t>
      </w:r>
      <w:r>
        <w:rPr>
          <w:rFonts w:hint="eastAsia" w:asciiTheme="minorEastAsia" w:hAnsiTheme="minorEastAsia"/>
          <w:color w:val="0C0C0C" w:themeColor="text1" w:themeTint="F2"/>
          <w:sz w:val="24"/>
          <w:szCs w:val="24"/>
        </w:rPr>
        <w:t>提交</w:t>
      </w:r>
      <w:r>
        <w:rPr>
          <w:rFonts w:hint="eastAsia" w:ascii="宋体" w:hAnsi="宋体"/>
          <w:color w:val="0C0C0C" w:themeColor="text1" w:themeTint="F2"/>
          <w:kern w:val="0"/>
          <w:sz w:val="24"/>
        </w:rPr>
        <w:t>“开标一览表”信封和下述文件正本份，副本份。</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 xml:space="preserve">1.资格证明文件； </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2.商务文件；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3.技术、服务文件。</w:t>
      </w:r>
    </w:p>
    <w:p>
      <w:pPr>
        <w:spacing w:line="360" w:lineRule="auto"/>
        <w:rPr>
          <w:rFonts w:ascii="宋体" w:hAnsi="宋体" w:eastAsia="宋体" w:cs="Times New Roman"/>
          <w:b/>
          <w:color w:val="0C0C0C" w:themeColor="text1" w:themeTint="F2"/>
          <w:kern w:val="0"/>
          <w:sz w:val="24"/>
          <w:szCs w:val="24"/>
        </w:rPr>
      </w:pPr>
      <w:r>
        <w:rPr>
          <w:rFonts w:hint="eastAsia" w:ascii="宋体" w:hAnsi="宋体" w:eastAsia="宋体" w:cs="Times New Roman"/>
          <w:b/>
          <w:color w:val="0C0C0C" w:themeColor="text1" w:themeTint="F2"/>
          <w:kern w:val="0"/>
          <w:sz w:val="24"/>
          <w:szCs w:val="24"/>
        </w:rPr>
        <w:t>在此，我方宣布同意如下：</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1．《开标一览表》中规定的应提交和交付的</w:t>
      </w:r>
      <w:r>
        <w:rPr>
          <w:rFonts w:hint="eastAsia" w:asciiTheme="minorEastAsia" w:hAnsiTheme="minorEastAsia"/>
          <w:sz w:val="24"/>
          <w:szCs w:val="24"/>
          <w:u w:val="single"/>
        </w:rPr>
        <w:t xml:space="preserve">  （包号）  </w:t>
      </w:r>
      <w:r>
        <w:rPr>
          <w:rFonts w:hint="eastAsia" w:asciiTheme="minorEastAsia" w:hAnsiTheme="minorEastAsia"/>
          <w:sz w:val="24"/>
          <w:szCs w:val="24"/>
        </w:rPr>
        <w:t>货物（工程或服务）投标总价为</w:t>
      </w:r>
      <w:r>
        <w:rPr>
          <w:rFonts w:hint="eastAsia" w:asciiTheme="minorEastAsia" w:hAnsiTheme="minorEastAsia"/>
          <w:sz w:val="24"/>
          <w:szCs w:val="24"/>
          <w:u w:val="single"/>
        </w:rPr>
        <w:t>（注明币种，并用大写和小写表述投标总价）</w:t>
      </w:r>
      <w:r>
        <w:rPr>
          <w:rFonts w:hint="eastAsia" w:asciiTheme="minorEastAsia" w:hAnsiTheme="minorEastAsia"/>
          <w:sz w:val="24"/>
          <w:szCs w:val="24"/>
        </w:rPr>
        <w:t>；</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2．按招标文件的约定履行合同责任和义务；</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3．已详细审查全部招标文件，包括</w:t>
      </w:r>
      <w:r>
        <w:rPr>
          <w:rFonts w:hint="eastAsia" w:asciiTheme="minorEastAsia" w:hAnsiTheme="minorEastAsia"/>
          <w:sz w:val="24"/>
          <w:szCs w:val="24"/>
          <w:u w:val="single"/>
        </w:rPr>
        <w:t>（修正或补充文件）（如果有的话）</w:t>
      </w:r>
      <w:r>
        <w:rPr>
          <w:rFonts w:hint="eastAsia" w:asciiTheme="minorEastAsia" w:hAnsiTheme="minorEastAsia"/>
          <w:sz w:val="24"/>
          <w:szCs w:val="24"/>
        </w:rPr>
        <w:t>，对此无异议；</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4．投标有效期为</w:t>
      </w:r>
      <w:r>
        <w:rPr>
          <w:rFonts w:hint="eastAsia" w:asciiTheme="minorEastAsia" w:hAnsiTheme="minorEastAsia"/>
          <w:color w:val="0C0C0C" w:themeColor="text1" w:themeTint="F2"/>
          <w:sz w:val="24"/>
          <w:szCs w:val="24"/>
        </w:rPr>
        <w:t>自</w:t>
      </w:r>
      <w:r>
        <w:rPr>
          <w:rFonts w:hint="eastAsia" w:ascii="宋体" w:hAnsi="宋体"/>
          <w:color w:val="0C0C0C" w:themeColor="text1" w:themeTint="F2"/>
          <w:kern w:val="0"/>
          <w:sz w:val="24"/>
        </w:rPr>
        <w:t>递交投标文件截止之日</w:t>
      </w:r>
      <w:r>
        <w:rPr>
          <w:rFonts w:hint="eastAsia" w:asciiTheme="minorEastAsia" w:hAnsiTheme="minorEastAsia"/>
          <w:color w:val="0C0C0C" w:themeColor="text1" w:themeTint="F2"/>
          <w:sz w:val="24"/>
          <w:szCs w:val="24"/>
        </w:rPr>
        <w:t>起</w:t>
      </w:r>
      <w:r>
        <w:rPr>
          <w:rFonts w:hint="eastAsia" w:asciiTheme="minorEastAsia" w:hAnsiTheme="minorEastAsia"/>
          <w:sz w:val="24"/>
          <w:szCs w:val="24"/>
        </w:rPr>
        <w:t>，共个日历日；</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5．提供按照贵方可能要求的与投标有关的一切数据或资料；</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6．与投标有关的一切正式往来信函请寄：。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kern w:val="0"/>
          <w:sz w:val="24"/>
          <w:szCs w:val="24"/>
        </w:rPr>
      </w:pP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地  址：</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电话/传真：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电子邮件：</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投标人(公章)：</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投标人授权代表（签字）：</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日    期：</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开户银行：</w:t>
      </w:r>
    </w:p>
    <w:p>
      <w:pPr>
        <w:spacing w:line="360" w:lineRule="auto"/>
        <w:ind w:left="12" w:leftChars="6" w:firstLine="472" w:firstLineChars="197"/>
        <w:rPr>
          <w:rFonts w:asciiTheme="minorEastAsia" w:hAnsiTheme="minorEastAsia"/>
          <w:sz w:val="24"/>
          <w:szCs w:val="24"/>
        </w:rPr>
      </w:pPr>
      <w:r>
        <w:rPr>
          <w:rFonts w:hint="eastAsia" w:asciiTheme="minorEastAsia" w:hAnsiTheme="minorEastAsia"/>
          <w:sz w:val="24"/>
          <w:szCs w:val="24"/>
        </w:rPr>
        <w:t>帐号/行号：</w:t>
      </w:r>
    </w:p>
    <w:p>
      <w:r>
        <w:br w:type="page"/>
      </w:r>
    </w:p>
    <w:p>
      <w:pPr>
        <w:pStyle w:val="3"/>
        <w:numPr>
          <w:ilvl w:val="0"/>
          <w:numId w:val="85"/>
        </w:numPr>
        <w:spacing w:before="100" w:beforeAutospacing="1" w:afterLines="50" w:line="360" w:lineRule="auto"/>
        <w:ind w:left="1288" w:hanging="1288"/>
        <w:rPr>
          <w:rFonts w:ascii="宋体" w:hAnsi="宋体" w:eastAsia="宋体"/>
        </w:rPr>
      </w:pPr>
      <w:bookmarkStart w:id="132" w:name="_Toc494745319"/>
      <w:bookmarkStart w:id="133" w:name="_Toc494721102"/>
      <w:bookmarkStart w:id="134" w:name="_Toc494665002"/>
      <w:bookmarkStart w:id="135" w:name="_Toc494702272"/>
      <w:bookmarkStart w:id="136" w:name="_Toc494665555"/>
      <w:bookmarkStart w:id="137" w:name="_Toc48230915"/>
      <w:bookmarkStart w:id="138" w:name="_Toc494665952"/>
      <w:r>
        <w:rPr>
          <w:rFonts w:hint="eastAsia" w:ascii="宋体" w:hAnsi="宋体" w:eastAsia="宋体"/>
        </w:rPr>
        <w:t>制造商中小企业声明函</w:t>
      </w:r>
      <w:bookmarkEnd w:id="132"/>
      <w:bookmarkEnd w:id="133"/>
      <w:bookmarkEnd w:id="134"/>
      <w:bookmarkEnd w:id="135"/>
      <w:bookmarkEnd w:id="136"/>
      <w:bookmarkEnd w:id="137"/>
      <w:bookmarkEnd w:id="138"/>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制造商中小企业声明函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1.根据《工业和信息化部、国家统计局、国</w:t>
      </w:r>
      <w:r>
        <w:rPr>
          <w:rFonts w:hint="eastAsia" w:ascii="宋体" w:hAnsi="宋体" w:eastAsia="宋体" w:cs="Times New Roman"/>
          <w:color w:val="0D0D0D"/>
          <w:sz w:val="24"/>
          <w:szCs w:val="21"/>
          <w:lang w:val="zh-CN"/>
        </w:rPr>
        <w:t>家发展和改革委员会、财政部关于印发中小企业划型标准规定的通知》（工信部联企业〔2011〕300号）规定的划分标准</w:t>
      </w:r>
      <w:r>
        <w:rPr>
          <w:rFonts w:hint="eastAsia" w:hAnsi="宋体"/>
          <w:color w:val="0C0C0C" w:themeColor="text1" w:themeTint="F2"/>
          <w:sz w:val="24"/>
        </w:rPr>
        <w:t>（详见《中小企业划型标准》）</w:t>
      </w:r>
      <w:r>
        <w:rPr>
          <w:rFonts w:hint="eastAsia" w:ascii="宋体" w:hAnsi="宋体" w:eastAsia="宋体" w:cs="Times New Roman"/>
          <w:color w:val="0D0D0D"/>
          <w:sz w:val="24"/>
          <w:szCs w:val="21"/>
          <w:lang w:val="zh-CN"/>
        </w:rPr>
        <w:t>，本公司为______（请填写：中型、小型、微型）企业。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2.本公司授权</w:t>
      </w:r>
      <w:r>
        <w:rPr>
          <w:rFonts w:hint="eastAsia" w:ascii="宋体" w:hAnsi="宋体" w:eastAsia="宋体" w:cs="Times New Roman"/>
          <w:color w:val="0D0D0D"/>
          <w:sz w:val="24"/>
          <w:szCs w:val="21"/>
          <w:u w:val="single"/>
          <w:lang w:val="zh-CN"/>
        </w:rPr>
        <w:t xml:space="preserve">  （投标人）  </w:t>
      </w:r>
      <w:r>
        <w:rPr>
          <w:rFonts w:hint="eastAsia" w:ascii="宋体" w:hAnsi="宋体" w:eastAsia="宋体" w:cs="Times New Roman"/>
          <w:color w:val="0D0D0D"/>
          <w:sz w:val="24"/>
          <w:szCs w:val="21"/>
          <w:lang w:val="zh-CN"/>
        </w:rPr>
        <w:t>参加_</w:t>
      </w:r>
      <w:r>
        <w:rPr>
          <w:rFonts w:hint="eastAsia" w:ascii="宋体" w:hAnsi="宋体" w:eastAsia="宋体" w:cs="Times New Roman"/>
          <w:color w:val="0D0D0D"/>
          <w:sz w:val="24"/>
          <w:szCs w:val="21"/>
          <w:u w:val="single"/>
          <w:lang w:val="zh-CN"/>
        </w:rPr>
        <w:t>_（采购人）_</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w:t>
      </w:r>
      <w:r>
        <w:rPr>
          <w:rFonts w:hint="eastAsia" w:ascii="宋体" w:hAnsi="宋体" w:eastAsia="宋体" w:cs="Times New Roman"/>
          <w:sz w:val="24"/>
          <w:szCs w:val="21"/>
          <w:lang w:val="zh-CN"/>
        </w:rPr>
        <w:t>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0D0D0D"/>
          <w:sz w:val="24"/>
          <w:szCs w:val="24"/>
        </w:rPr>
      </w:pPr>
      <w:r>
        <w:rPr>
          <w:rFonts w:hint="eastAsia" w:ascii="宋体" w:hAnsi="宋体" w:eastAsia="宋体" w:cs="Times New Roman"/>
          <w:bCs/>
          <w:sz w:val="24"/>
          <w:szCs w:val="24"/>
          <w:lang w:val="zh-CN"/>
        </w:rPr>
        <w:t>3</w:t>
      </w:r>
      <w:r>
        <w:rPr>
          <w:rFonts w:hint="eastAsia" w:ascii="宋体" w:hAnsi="宋体" w:eastAsia="宋体" w:cs="Times New Roman"/>
          <w:bCs/>
          <w:sz w:val="24"/>
          <w:szCs w:val="24"/>
        </w:rPr>
        <w:t>.由本公司制造的</w:t>
      </w:r>
      <w:r>
        <w:rPr>
          <w:rFonts w:hint="eastAsia" w:ascii="宋体" w:hAnsi="宋体" w:eastAsia="宋体" w:cs="Times New Roman"/>
          <w:bCs/>
          <w:color w:val="0D0D0D"/>
          <w:sz w:val="24"/>
          <w:szCs w:val="24"/>
        </w:rPr>
        <w:t>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8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86"/>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beforeLines="50"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spacing w:line="360" w:lineRule="auto"/>
        <w:rPr>
          <w:rFonts w:ascii="宋体" w:hAnsi="宋体" w:eastAsia="宋体" w:cs="Times New Roman"/>
          <w:bCs/>
          <w:sz w:val="24"/>
          <w:szCs w:val="24"/>
        </w:rPr>
      </w:pPr>
    </w:p>
    <w:p>
      <w:pPr>
        <w:pStyle w:val="7"/>
        <w:spacing w:line="360" w:lineRule="auto"/>
        <w:ind w:left="960" w:hanging="960" w:hangingChars="400"/>
        <w:jc w:val="left"/>
        <w:rPr>
          <w:rFonts w:hAnsi="宋体" w:cs="Corbel"/>
          <w:color w:val="0C0C0C" w:themeColor="text1" w:themeTint="F2"/>
          <w:sz w:val="24"/>
        </w:rPr>
      </w:pPr>
      <w:r>
        <w:rPr>
          <w:rFonts w:hint="eastAsia" w:hAnsi="宋体" w:eastAsia="宋体" w:cs="Times New Roman"/>
          <w:bCs/>
          <w:sz w:val="24"/>
          <w:szCs w:val="24"/>
        </w:rPr>
        <w:t>说明：</w:t>
      </w:r>
      <w:r>
        <w:rPr>
          <w:rFonts w:hint="eastAsia" w:hAnsi="宋体" w:cs="Corbel"/>
          <w:sz w:val="24"/>
        </w:rPr>
        <w:t>1、投标人所投</w:t>
      </w:r>
      <w:r>
        <w:rPr>
          <w:rFonts w:hint="eastAsia" w:hAnsi="宋体" w:cs="Corbel"/>
          <w:color w:val="0C0C0C" w:themeColor="text1" w:themeTint="F2"/>
          <w:sz w:val="24"/>
        </w:rPr>
        <w:t>货物为自己制造的，也应按本声明函格式填写。</w:t>
      </w:r>
    </w:p>
    <w:p>
      <w:pPr>
        <w:pStyle w:val="7"/>
        <w:spacing w:line="360" w:lineRule="auto"/>
        <w:ind w:left="958" w:leftChars="342" w:hanging="240" w:hangingChars="10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2、组成联合体的大中型企业和其他自然人、法人或者其他组织，与小型、微型企业之间不得存在投资关系。</w:t>
      </w:r>
    </w:p>
    <w:p>
      <w:pPr>
        <w:pStyle w:val="7"/>
        <w:spacing w:line="360" w:lineRule="auto"/>
        <w:ind w:left="958" w:leftChars="342" w:hanging="240" w:hangingChars="100"/>
        <w:jc w:val="left"/>
        <w:rPr>
          <w:rFonts w:hAnsi="宋体" w:eastAsia="宋体" w:cs="Times New Roman"/>
          <w:bCs/>
          <w:color w:val="0C0C0C" w:themeColor="text1" w:themeTint="F2"/>
          <w:sz w:val="24"/>
          <w:szCs w:val="24"/>
        </w:rPr>
      </w:pPr>
      <w:r>
        <w:rPr>
          <w:rFonts w:hint="eastAsia" w:hAnsi="宋体"/>
          <w:color w:val="0C0C0C" w:themeColor="text1" w:themeTint="F2"/>
          <w:sz w:val="24"/>
        </w:rPr>
        <w:t>3、如以联合体方式参与本项目投标的投标人，则应由联合体双方签字盖章。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pStyle w:val="3"/>
        <w:numPr>
          <w:ilvl w:val="0"/>
          <w:numId w:val="85"/>
        </w:numPr>
        <w:spacing w:before="100" w:beforeAutospacing="1" w:afterLines="50" w:line="360" w:lineRule="auto"/>
        <w:ind w:left="1288" w:hanging="1288"/>
        <w:rPr>
          <w:rFonts w:ascii="宋体" w:hAnsi="宋体" w:eastAsia="宋体"/>
        </w:rPr>
      </w:pPr>
      <w:bookmarkStart w:id="139" w:name="_Toc494665953"/>
      <w:bookmarkStart w:id="140" w:name="_Toc494665003"/>
      <w:bookmarkStart w:id="141" w:name="_Toc494721103"/>
      <w:bookmarkStart w:id="142" w:name="_Toc494702273"/>
      <w:bookmarkStart w:id="143" w:name="_Toc494745320"/>
      <w:bookmarkStart w:id="144" w:name="_Toc494665556"/>
      <w:bookmarkStart w:id="145" w:name="_Toc456264006"/>
      <w:bookmarkStart w:id="146" w:name="_Toc48230916"/>
      <w:r>
        <w:rPr>
          <w:rFonts w:hint="eastAsia" w:ascii="宋体" w:hAnsi="宋体" w:eastAsia="宋体"/>
        </w:rPr>
        <w:t>中小企业声明函</w:t>
      </w:r>
      <w:bookmarkEnd w:id="139"/>
      <w:bookmarkEnd w:id="140"/>
      <w:bookmarkEnd w:id="141"/>
      <w:bookmarkEnd w:id="142"/>
      <w:bookmarkEnd w:id="143"/>
      <w:bookmarkEnd w:id="144"/>
      <w:bookmarkEnd w:id="145"/>
      <w:bookmarkEnd w:id="146"/>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中小企业声明函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sz w:val="24"/>
          <w:szCs w:val="21"/>
          <w:lang w:val="zh-CN"/>
        </w:rPr>
        <w:t>本公司郑重声明，根据《政府</w:t>
      </w:r>
      <w:r>
        <w:rPr>
          <w:rFonts w:hint="eastAsia" w:ascii="宋体" w:hAnsi="宋体" w:eastAsia="宋体" w:cs="Times New Roman"/>
          <w:color w:val="0D0D0D"/>
          <w:sz w:val="24"/>
          <w:szCs w:val="21"/>
          <w:lang w:val="zh-CN"/>
        </w:rPr>
        <w:t>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0D0D0D"/>
          <w:sz w:val="24"/>
          <w:szCs w:val="21"/>
          <w:lang w:val="zh-CN"/>
        </w:rPr>
      </w:pPr>
      <w:r>
        <w:rPr>
          <w:rFonts w:hint="eastAsia" w:ascii="宋体" w:hAnsi="宋体" w:eastAsia="宋体" w:cs="Times New Roman"/>
          <w:color w:val="0D0D0D"/>
          <w:sz w:val="24"/>
          <w:szCs w:val="21"/>
          <w:lang w:val="zh-CN"/>
        </w:rPr>
        <w:t>1.根据《工业和信息化部、国家统计局、国家发展和改革委员会、财政部关于印发中小企业划型标准规定的通知》（工信部联企业〔2011〕300号</w:t>
      </w:r>
      <w:r>
        <w:rPr>
          <w:rFonts w:hint="eastAsia" w:ascii="宋体" w:hAnsi="宋体" w:eastAsia="宋体" w:cs="Times New Roman"/>
          <w:color w:val="0C0C0C" w:themeColor="text1" w:themeTint="F2"/>
          <w:sz w:val="24"/>
          <w:szCs w:val="21"/>
          <w:lang w:val="zh-CN"/>
        </w:rPr>
        <w:t>）规定的划分标准</w:t>
      </w:r>
      <w:r>
        <w:rPr>
          <w:rFonts w:hint="eastAsia" w:hAnsi="宋体"/>
          <w:color w:val="0C0C0C" w:themeColor="text1" w:themeTint="F2"/>
          <w:sz w:val="24"/>
        </w:rPr>
        <w:t>（详见《中小企业划型标准》）</w:t>
      </w:r>
      <w:r>
        <w:rPr>
          <w:rFonts w:hint="eastAsia" w:ascii="宋体" w:hAnsi="宋体" w:eastAsia="宋体" w:cs="Times New Roman"/>
          <w:color w:val="0C0C0C" w:themeColor="text1" w:themeTint="F2"/>
          <w:sz w:val="24"/>
          <w:szCs w:val="21"/>
          <w:lang w:val="zh-CN"/>
        </w:rPr>
        <w:t>，本公司为______（请填写：中型、小</w:t>
      </w:r>
      <w:r>
        <w:rPr>
          <w:rFonts w:hint="eastAsia" w:ascii="宋体" w:hAnsi="宋体" w:eastAsia="宋体" w:cs="Times New Roman"/>
          <w:color w:val="0D0D0D"/>
          <w:sz w:val="24"/>
          <w:szCs w:val="21"/>
          <w:lang w:val="zh-CN"/>
        </w:rPr>
        <w:t>型、微型）企业。</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color w:val="0D0D0D"/>
          <w:sz w:val="24"/>
          <w:szCs w:val="21"/>
          <w:lang w:val="zh-CN"/>
        </w:rPr>
        <w:t>2.本公司参加_</w:t>
      </w:r>
      <w:r>
        <w:rPr>
          <w:rFonts w:hint="eastAsia" w:ascii="宋体" w:hAnsi="宋体" w:eastAsia="宋体" w:cs="Times New Roman"/>
          <w:color w:val="0D0D0D"/>
          <w:sz w:val="24"/>
          <w:szCs w:val="21"/>
          <w:u w:val="single"/>
          <w:lang w:val="zh-CN"/>
        </w:rPr>
        <w:t>_（采购人）</w:t>
      </w:r>
      <w:r>
        <w:rPr>
          <w:rFonts w:hint="eastAsia" w:ascii="宋体" w:hAnsi="宋体" w:eastAsia="宋体" w:cs="Times New Roman"/>
          <w:color w:val="0D0D0D"/>
          <w:sz w:val="24"/>
          <w:szCs w:val="21"/>
          <w:lang w:val="zh-CN"/>
        </w:rPr>
        <w:t>的__</w:t>
      </w:r>
      <w:r>
        <w:rPr>
          <w:rFonts w:hint="eastAsia" w:ascii="宋体" w:hAnsi="宋体" w:eastAsia="宋体" w:cs="Times New Roman"/>
          <w:color w:val="0D0D0D"/>
          <w:sz w:val="24"/>
          <w:szCs w:val="21"/>
          <w:u w:val="single"/>
          <w:lang w:val="zh-CN"/>
        </w:rPr>
        <w:t>__</w:t>
      </w:r>
      <w:r>
        <w:rPr>
          <w:rFonts w:hint="eastAsia" w:ascii="宋体" w:hAnsi="宋体" w:eastAsia="宋体" w:cs="Times New Roman"/>
          <w:color w:val="0D0D0D"/>
          <w:sz w:val="24"/>
          <w:szCs w:val="21"/>
          <w:lang w:val="zh-CN"/>
        </w:rPr>
        <w:t>项目（项目编号：_____</w:t>
      </w:r>
      <w:r>
        <w:rPr>
          <w:rFonts w:hint="eastAsia" w:ascii="宋体" w:hAnsi="宋体" w:eastAsia="宋体" w:cs="Times New Roman"/>
          <w:sz w:val="24"/>
          <w:szCs w:val="21"/>
          <w:lang w:val="zh-CN"/>
        </w:rPr>
        <w:t>_）采购活动由本企业承担工程（或提供服务）。</w:t>
      </w:r>
    </w:p>
    <w:p>
      <w:pPr>
        <w:spacing w:line="360" w:lineRule="auto"/>
        <w:ind w:firstLine="475" w:firstLineChars="198"/>
        <w:jc w:val="left"/>
        <w:rPr>
          <w:rFonts w:ascii="宋体" w:hAnsi="宋体" w:eastAsia="宋体" w:cs="Times New Roman"/>
          <w:sz w:val="24"/>
          <w:szCs w:val="21"/>
          <w:lang w:val="zh-CN"/>
        </w:rPr>
      </w:pPr>
      <w:r>
        <w:rPr>
          <w:rFonts w:hint="eastAsia" w:ascii="宋体" w:hAnsi="宋体" w:eastAsia="宋体" w:cs="Times New Roman"/>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sz w:val="28"/>
          <w:szCs w:val="24"/>
        </w:rPr>
      </w:pPr>
    </w:p>
    <w:p>
      <w:pPr>
        <w:adjustRightInd w:val="0"/>
        <w:snapToGrid w:val="0"/>
        <w:spacing w:line="360" w:lineRule="auto"/>
        <w:rPr>
          <w:rFonts w:ascii="宋体" w:hAnsi="宋体" w:eastAsia="宋体" w:cs="Times New Roman"/>
          <w:sz w:val="28"/>
          <w:szCs w:val="24"/>
        </w:rPr>
      </w:pPr>
    </w:p>
    <w:p>
      <w:pPr>
        <w:spacing w:line="360" w:lineRule="auto"/>
        <w:ind w:left="950" w:hanging="950" w:hangingChars="396"/>
        <w:jc w:val="left"/>
        <w:rPr>
          <w:rFonts w:ascii="宋体" w:hAnsi="宋体" w:eastAsia="宋体" w:cs="Times New Roman"/>
          <w:sz w:val="24"/>
          <w:szCs w:val="21"/>
          <w:lang w:val="zh-CN"/>
        </w:rPr>
      </w:pPr>
      <w:r>
        <w:rPr>
          <w:rFonts w:hint="eastAsia" w:ascii="宋体" w:hAnsi="宋体" w:eastAsia="宋体" w:cs="Times New Roman"/>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sz w:val="24"/>
          <w:szCs w:val="21"/>
          <w:lang w:val="zh-CN"/>
        </w:rPr>
      </w:pPr>
      <w:r>
        <w:rPr>
          <w:rFonts w:hint="eastAsia" w:ascii="宋体" w:hAnsi="宋体" w:eastAsia="宋体" w:cs="Times New Roman"/>
          <w:sz w:val="24"/>
          <w:szCs w:val="21"/>
          <w:lang w:val="zh-CN"/>
        </w:rPr>
        <w:t>2.以联合体方式参与本项目投标的</w:t>
      </w:r>
      <w:r>
        <w:rPr>
          <w:rFonts w:hint="eastAsia" w:ascii="宋体" w:hAnsi="宋体" w:eastAsia="宋体" w:cs="Times New Roman"/>
          <w:sz w:val="24"/>
          <w:szCs w:val="21"/>
        </w:rPr>
        <w:t>投标人</w:t>
      </w:r>
      <w:r>
        <w:rPr>
          <w:rFonts w:hint="eastAsia" w:ascii="宋体" w:hAnsi="宋体" w:eastAsia="宋体" w:cs="Times New Roman"/>
          <w:sz w:val="24"/>
          <w:szCs w:val="21"/>
          <w:lang w:val="zh-CN"/>
        </w:rPr>
        <w:t>，应由联合体双方签字盖章。</w:t>
      </w: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line="360" w:lineRule="auto"/>
        <w:ind w:firstLine="480" w:firstLineChars="200"/>
        <w:jc w:val="left"/>
        <w:rPr>
          <w:rFonts w:ascii="宋体" w:hAnsi="宋体" w:eastAsia="宋体" w:cs="Times New Roman"/>
          <w:sz w:val="24"/>
          <w:szCs w:val="21"/>
          <w:lang w:val="zh-CN"/>
        </w:rPr>
      </w:pP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p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br w:type="page"/>
      </w:r>
    </w:p>
    <w:p>
      <w:pPr>
        <w:spacing w:line="240" w:lineRule="atLeast"/>
        <w:ind w:left="-48" w:leftChars="-23" w:right="-65" w:rightChars="-31"/>
        <w:jc w:val="center"/>
        <w:rPr>
          <w:rFonts w:ascii="宋体" w:hAnsi="宋体" w:eastAsia="宋体" w:cs="Times New Roman"/>
          <w:b/>
          <w:sz w:val="30"/>
          <w:szCs w:val="30"/>
          <w:lang w:val="zh-CN"/>
        </w:rPr>
      </w:pPr>
      <w:bookmarkStart w:id="147" w:name="_Toc476153619"/>
      <w:r>
        <w:rPr>
          <w:rFonts w:hint="eastAsia" w:ascii="宋体" w:hAnsi="宋体" w:eastAsia="宋体" w:cs="Times New Roman"/>
          <w:b/>
          <w:sz w:val="30"/>
          <w:szCs w:val="30"/>
          <w:lang w:val="zh-CN"/>
        </w:rPr>
        <w:t>中小企业划型标准</w:t>
      </w:r>
      <w:bookmarkEnd w:id="147"/>
    </w:p>
    <w:tbl>
      <w:tblPr>
        <w:tblStyle w:val="16"/>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营业收入</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从业人员</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总资产</w:t>
            </w:r>
          </w:p>
          <w:p>
            <w:pPr>
              <w:spacing w:line="240" w:lineRule="atLeast"/>
              <w:ind w:left="-48" w:leftChars="-23" w:right="-65" w:rightChars="-31"/>
              <w:jc w:val="center"/>
              <w:rPr>
                <w:rFonts w:ascii="宋体" w:hAnsi="宋体" w:eastAsia="宋体" w:cs="宋体"/>
                <w:b/>
                <w:kern w:val="0"/>
                <w:szCs w:val="21"/>
              </w:rPr>
            </w:pPr>
            <w:r>
              <w:rPr>
                <w:rFonts w:hint="eastAsia" w:ascii="宋体" w:hAnsi="宋体" w:eastAsia="宋体" w:cs="宋体"/>
                <w:b/>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kern w:val="0"/>
                <w:szCs w:val="21"/>
              </w:rPr>
            </w:pPr>
            <w:r>
              <w:rPr>
                <w:rFonts w:hint="eastAsia" w:ascii="宋体" w:hAnsi="宋体" w:eastAsia="宋体" w:cs="宋体"/>
                <w:b/>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kern w:val="0"/>
                <w:szCs w:val="21"/>
              </w:rPr>
            </w:pPr>
            <w:r>
              <w:rPr>
                <w:rFonts w:hint="eastAsia" w:ascii="宋体" w:hAnsi="宋体" w:eastAsia="宋体" w:cs="宋体"/>
                <w:b/>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kern w:val="0"/>
                <w:szCs w:val="21"/>
              </w:rPr>
            </w:pPr>
            <w:r>
              <w:rPr>
                <w:rFonts w:hint="eastAsia" w:ascii="宋体" w:hAnsi="宋体" w:eastAsia="宋体" w:cs="宋体"/>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　</w:t>
            </w:r>
          </w:p>
        </w:tc>
      </w:tr>
    </w:tbl>
    <w:p>
      <w:pPr>
        <w:sectPr>
          <w:pgSz w:w="16838" w:h="11906" w:orient="landscape"/>
          <w:pgMar w:top="1191" w:right="1134" w:bottom="1191" w:left="1134" w:header="851" w:footer="851" w:gutter="0"/>
          <w:cols w:space="425" w:num="1"/>
          <w:docGrid w:type="lines" w:linePitch="312" w:charSpace="0"/>
        </w:sectPr>
      </w:pPr>
      <w:r>
        <w:br w:type="page"/>
      </w:r>
    </w:p>
    <w:p>
      <w:pPr>
        <w:pStyle w:val="3"/>
        <w:numPr>
          <w:ilvl w:val="0"/>
          <w:numId w:val="85"/>
        </w:numPr>
        <w:spacing w:before="100" w:beforeAutospacing="1" w:afterLines="50" w:line="360" w:lineRule="auto"/>
        <w:ind w:left="1288" w:hanging="1288"/>
        <w:rPr>
          <w:rFonts w:ascii="宋体" w:hAnsi="宋体" w:eastAsia="宋体"/>
        </w:rPr>
      </w:pPr>
      <w:bookmarkStart w:id="148" w:name="_Toc494745321"/>
      <w:bookmarkStart w:id="149" w:name="_Toc494665557"/>
      <w:bookmarkStart w:id="150" w:name="_Toc494665004"/>
      <w:bookmarkStart w:id="151" w:name="_Toc48230917"/>
      <w:bookmarkStart w:id="152" w:name="_Toc494721104"/>
      <w:bookmarkStart w:id="153" w:name="_Toc494665954"/>
      <w:bookmarkStart w:id="154" w:name="_Toc494702274"/>
      <w:r>
        <w:rPr>
          <w:rFonts w:hint="eastAsia" w:ascii="宋体" w:hAnsi="宋体" w:eastAsia="宋体"/>
        </w:rPr>
        <w:t>残疾人福利性单位声明函</w:t>
      </w:r>
      <w:bookmarkEnd w:id="148"/>
      <w:bookmarkEnd w:id="149"/>
      <w:bookmarkEnd w:id="150"/>
      <w:bookmarkEnd w:id="151"/>
      <w:bookmarkEnd w:id="152"/>
      <w:bookmarkEnd w:id="153"/>
      <w:bookmarkEnd w:id="154"/>
    </w:p>
    <w:p>
      <w:pPr>
        <w:adjustRightInd w:val="0"/>
        <w:snapToGrid w:val="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（适用于货物类项目）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pStyle w:val="7"/>
        <w:spacing w:line="360" w:lineRule="auto"/>
        <w:ind w:firstLine="475" w:firstLineChars="198"/>
        <w:jc w:val="left"/>
        <w:rPr>
          <w:rFonts w:hAnsi="宋体"/>
          <w:sz w:val="24"/>
        </w:rPr>
      </w:pPr>
      <w:r>
        <w:rPr>
          <w:rFonts w:hint="eastAsia" w:hAnsi="宋体"/>
          <w:sz w:val="24"/>
        </w:rPr>
        <w:t>本单位郑重声明，根据《财政部 民政部 中国残疾人联合会关于促进残疾人就业政府采购政策的通知》（财库〔2017〕141号）的规定，本</w:t>
      </w:r>
      <w:r>
        <w:rPr>
          <w:rFonts w:hint="eastAsia" w:hAnsi="宋体"/>
          <w:color w:val="0C0C0C" w:themeColor="text1" w:themeTint="F2"/>
          <w:sz w:val="24"/>
        </w:rPr>
        <w:t>单位为符合条件的残疾人福利性单位（详见“残疾人福利性单位应当满足的条件”）。</w:t>
      </w:r>
    </w:p>
    <w:p>
      <w:pPr>
        <w:pStyle w:val="7"/>
        <w:spacing w:line="360" w:lineRule="auto"/>
        <w:ind w:firstLine="475" w:firstLineChars="198"/>
        <w:jc w:val="left"/>
        <w:rPr>
          <w:rFonts w:hAnsi="宋体"/>
          <w:sz w:val="24"/>
        </w:rPr>
      </w:pPr>
      <w:r>
        <w:rPr>
          <w:rFonts w:hint="eastAsia" w:hAnsi="宋体"/>
          <w:sz w:val="24"/>
        </w:rPr>
        <w:t>1.本单位授权</w:t>
      </w:r>
      <w:r>
        <w:rPr>
          <w:rFonts w:hint="eastAsia" w:hAnsi="宋体"/>
          <w:sz w:val="24"/>
          <w:u w:val="single"/>
        </w:rPr>
        <w:t xml:space="preserve"> （投标人） </w:t>
      </w:r>
      <w:r>
        <w:rPr>
          <w:rFonts w:hint="eastAsia" w:hAnsi="宋体"/>
          <w:sz w:val="24"/>
        </w:rPr>
        <w:t>参加_</w:t>
      </w:r>
      <w:r>
        <w:rPr>
          <w:rFonts w:hint="eastAsia" w:hAnsi="宋体"/>
          <w:sz w:val="24"/>
          <w:u w:val="single"/>
        </w:rPr>
        <w:t>（采购人）</w:t>
      </w:r>
      <w:r>
        <w:rPr>
          <w:rFonts w:hint="eastAsia" w:hAnsi="宋体"/>
          <w:sz w:val="24"/>
        </w:rPr>
        <w:t>的__</w:t>
      </w:r>
      <w:r>
        <w:rPr>
          <w:rFonts w:hint="eastAsia" w:hAnsi="宋体"/>
          <w:sz w:val="24"/>
          <w:u w:val="single"/>
        </w:rPr>
        <w:t>_ _</w:t>
      </w:r>
      <w:r>
        <w:rPr>
          <w:rFonts w:hint="eastAsia" w:hAnsi="宋体"/>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0D0D0D"/>
          <w:sz w:val="24"/>
        </w:rPr>
      </w:pPr>
      <w:r>
        <w:rPr>
          <w:rFonts w:hint="eastAsia" w:ascii="宋体" w:hAnsi="宋体"/>
          <w:bCs/>
          <w:sz w:val="24"/>
          <w:lang w:val="zh-CN"/>
        </w:rPr>
        <w:t>2</w:t>
      </w:r>
      <w:r>
        <w:rPr>
          <w:rFonts w:hint="eastAsia" w:ascii="宋体" w:hAnsi="宋体"/>
          <w:bCs/>
          <w:sz w:val="24"/>
        </w:rPr>
        <w:t>.由本单位制造的</w:t>
      </w:r>
      <w:r>
        <w:rPr>
          <w:rFonts w:hint="eastAsia" w:ascii="宋体" w:hAnsi="宋体"/>
          <w:bCs/>
          <w:color w:val="0D0D0D"/>
          <w:sz w:val="24"/>
        </w:rPr>
        <w:t>货物清单见下表：</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87"/>
              </w:numPr>
              <w:tabs>
                <w:tab w:val="left" w:pos="82"/>
              </w:tabs>
              <w:adjustRightInd w:val="0"/>
              <w:snapToGrid w:val="0"/>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87"/>
              </w:numPr>
              <w:tabs>
                <w:tab w:val="left" w:pos="82"/>
              </w:tabs>
              <w:adjustRightInd w:val="0"/>
              <w:snapToGrid w:val="0"/>
              <w:ind w:left="-2" w:firstLine="2"/>
              <w:jc w:val="center"/>
              <w:rPr>
                <w:rFonts w:ascii="宋体" w:hAnsi="宋体"/>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bCs/>
          <w:color w:val="0C0C0C" w:themeColor="text1" w:themeTint="F2"/>
          <w:sz w:val="24"/>
          <w:szCs w:val="24"/>
        </w:rPr>
      </w:pPr>
    </w:p>
    <w:p>
      <w:pPr>
        <w:pStyle w:val="7"/>
        <w:spacing w:line="360" w:lineRule="auto"/>
        <w:jc w:val="left"/>
        <w:rPr>
          <w:rFonts w:hAnsi="宋体" w:cs="Corbel"/>
          <w:color w:val="0C0C0C" w:themeColor="text1" w:themeTint="F2"/>
          <w:sz w:val="24"/>
        </w:rPr>
      </w:pPr>
      <w:r>
        <w:rPr>
          <w:rFonts w:hint="eastAsia" w:hAnsi="宋体" w:eastAsia="宋体" w:cs="Times New Roman"/>
          <w:bCs/>
          <w:color w:val="0C0C0C" w:themeColor="text1" w:themeTint="F2"/>
          <w:sz w:val="24"/>
          <w:szCs w:val="24"/>
        </w:rPr>
        <w:t>说明：</w:t>
      </w:r>
      <w:r>
        <w:rPr>
          <w:rFonts w:hint="eastAsia" w:hAnsi="宋体" w:cs="Corbel"/>
          <w:color w:val="0C0C0C" w:themeColor="text1" w:themeTint="F2"/>
          <w:sz w:val="24"/>
        </w:rPr>
        <w:t>1、投标人所投货物为自己制造的，也应按本声明函格式填写。</w:t>
      </w:r>
    </w:p>
    <w:p>
      <w:pPr>
        <w:pStyle w:val="7"/>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2、组成联合体的大中型企业和其他自然人、法人或者其他组织，与残疾人福利性单位之间不得存在投资关系。</w:t>
      </w:r>
    </w:p>
    <w:p>
      <w:pPr>
        <w:pStyle w:val="7"/>
        <w:spacing w:line="360" w:lineRule="auto"/>
        <w:ind w:left="1078" w:leftChars="342" w:hanging="360" w:hangingChars="150"/>
        <w:jc w:val="left"/>
        <w:rPr>
          <w:rFonts w:hAnsi="宋体"/>
          <w:color w:val="0C0C0C" w:themeColor="text1" w:themeTint="F2"/>
          <w:sz w:val="24"/>
        </w:rPr>
      </w:pPr>
      <w:r>
        <w:rPr>
          <w:rFonts w:hint="eastAsia" w:hAnsi="宋体"/>
          <w:color w:val="0C0C0C" w:themeColor="text1" w:themeTint="F2"/>
          <w:sz w:val="24"/>
        </w:rPr>
        <w:t>3、以联合体方式参与本项目投标的投标人，应由联合体双方签字盖章。</w:t>
      </w:r>
    </w:p>
    <w:p>
      <w:pPr>
        <w:spacing w:line="360" w:lineRule="auto"/>
        <w:rPr>
          <w:rFonts w:ascii="宋体" w:hAnsi="宋体"/>
          <w:sz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制造商法定代表人（</w:t>
      </w:r>
      <w:r>
        <w:rPr>
          <w:rFonts w:hint="eastAsia" w:ascii="宋体" w:hAnsi="宋体" w:eastAsia="宋体" w:cs="Times New Roman"/>
          <w:b/>
          <w:sz w:val="24"/>
          <w:szCs w:val="21"/>
          <w:lang w:val="zh-CN"/>
        </w:rPr>
        <w:t>签字或盖章</w:t>
      </w:r>
      <w:r>
        <w:rPr>
          <w:rFonts w:hint="eastAsia" w:ascii="宋体" w:hAnsi="宋体" w:eastAsia="宋体" w:cs="Times New Roman"/>
          <w:b/>
          <w:bCs/>
          <w:sz w:val="24"/>
          <w:szCs w:val="21"/>
          <w:lang w:val="zh-CN"/>
        </w:rPr>
        <w:t>）：</w:t>
      </w:r>
    </w:p>
    <w:p>
      <w:pPr>
        <w:spacing w:before="100" w:beforeAutospacing="1" w:after="100" w:afterAutospacing="1" w:line="360" w:lineRule="auto"/>
        <w:ind w:firstLine="3316" w:firstLineChars="1382"/>
      </w:pPr>
      <w:r>
        <w:rPr>
          <w:rFonts w:hint="eastAsia" w:ascii="Times New Roman" w:hAnsi="宋体" w:eastAsia="宋体" w:cs="Times New Roman"/>
          <w:b/>
          <w:sz w:val="24"/>
          <w:szCs w:val="24"/>
        </w:rPr>
        <w:t>日   期：</w:t>
      </w:r>
    </w:p>
    <w:p>
      <w:r>
        <w:br w:type="page"/>
      </w:r>
    </w:p>
    <w:p>
      <w:pPr>
        <w:adjustRightInd w:val="0"/>
        <w:snapToGrid w:val="0"/>
        <w:jc w:val="center"/>
        <w:rPr>
          <w:rFonts w:ascii="宋体" w:hAnsi="宋体" w:eastAsia="宋体" w:cs="Times New Roman"/>
          <w:b/>
          <w:sz w:val="30"/>
          <w:szCs w:val="30"/>
          <w:lang w:val="zh-CN"/>
        </w:rPr>
      </w:pPr>
    </w:p>
    <w:p>
      <w:pPr>
        <w:adjustRightInd w:val="0"/>
        <w:snapToGrid w:val="0"/>
        <w:spacing w:beforeLines="100"/>
        <w:jc w:val="center"/>
        <w:rPr>
          <w:rFonts w:ascii="宋体" w:hAnsi="宋体" w:eastAsia="宋体" w:cs="Times New Roman"/>
          <w:b/>
          <w:sz w:val="30"/>
          <w:szCs w:val="30"/>
          <w:lang w:val="zh-CN"/>
        </w:rPr>
      </w:pPr>
      <w:r>
        <w:rPr>
          <w:rFonts w:hint="eastAsia" w:ascii="宋体" w:hAnsi="宋体" w:eastAsia="宋体" w:cs="Times New Roman"/>
          <w:b/>
          <w:sz w:val="30"/>
          <w:szCs w:val="30"/>
          <w:lang w:val="zh-CN"/>
        </w:rPr>
        <w:t>残疾人福利性单位声明函</w:t>
      </w:r>
    </w:p>
    <w:p>
      <w:pPr>
        <w:adjustRightInd w:val="0"/>
        <w:snapToGrid w:val="0"/>
        <w:spacing w:beforeLines="50" w:afterLines="50"/>
        <w:jc w:val="center"/>
        <w:rPr>
          <w:rFonts w:ascii="宋体" w:hAnsi="Courier New" w:eastAsia="宋体" w:cs="Times New Roman"/>
          <w:sz w:val="24"/>
          <w:szCs w:val="21"/>
          <w:lang w:val="zh-CN"/>
        </w:rPr>
      </w:pPr>
      <w:r>
        <w:rPr>
          <w:rFonts w:hint="eastAsia" w:ascii="宋体" w:hAnsi="Courier New" w:eastAsia="宋体" w:cs="Times New Roman"/>
          <w:sz w:val="24"/>
          <w:szCs w:val="21"/>
          <w:lang w:val="zh-CN"/>
        </w:rPr>
        <w:t>（适用于工程类、服务类项目）</w:t>
      </w:r>
    </w:p>
    <w:p>
      <w:pPr>
        <w:spacing w:line="360" w:lineRule="auto"/>
        <w:rPr>
          <w:b/>
          <w:sz w:val="28"/>
          <w:szCs w:val="28"/>
        </w:rPr>
      </w:pPr>
      <w:r>
        <w:rPr>
          <w:rFonts w:hint="eastAsia"/>
          <w:b/>
          <w:sz w:val="28"/>
          <w:szCs w:val="28"/>
        </w:rPr>
        <w:t>采购人</w:t>
      </w:r>
      <w:r>
        <w:rPr>
          <w:rFonts w:hint="eastAsia"/>
          <w:b/>
          <w:color w:val="FF0000"/>
          <w:sz w:val="28"/>
          <w:szCs w:val="28"/>
        </w:rPr>
        <w:t>（或采购代理公司）</w:t>
      </w:r>
      <w:r>
        <w:rPr>
          <w:rFonts w:hint="eastAsia"/>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本单位郑重声明，根据《财政</w:t>
      </w:r>
      <w:r>
        <w:rPr>
          <w:rFonts w:hint="eastAsia" w:ascii="宋体" w:hAnsi="宋体" w:eastAsia="宋体" w:cs="Times New Roman"/>
          <w:color w:val="0C0C0C" w:themeColor="text1" w:themeTint="F2"/>
          <w:sz w:val="24"/>
          <w:szCs w:val="24"/>
        </w:rPr>
        <w:t>部 民政部 中国残疾人联合会关于促进残疾人就业政府采购政策的通知》（财库〔2017〕141号）的规定，本单位为符合条件的残疾人福利性单位</w:t>
      </w:r>
      <w:r>
        <w:rPr>
          <w:rFonts w:hint="eastAsia" w:hAnsi="宋体"/>
          <w:color w:val="0C0C0C" w:themeColor="text1" w:themeTint="F2"/>
          <w:sz w:val="24"/>
        </w:rPr>
        <w:t>（详见“残疾人福利性单位应当满足的条件”）</w:t>
      </w:r>
      <w:r>
        <w:rPr>
          <w:rFonts w:hint="eastAsia" w:ascii="宋体" w:hAnsi="宋体" w:eastAsia="宋体" w:cs="Times New Roman"/>
          <w:color w:val="0C0C0C" w:themeColor="text1" w:themeTint="F2"/>
          <w:sz w:val="24"/>
          <w:szCs w:val="24"/>
        </w:rPr>
        <w:t>，</w:t>
      </w:r>
      <w:r>
        <w:rPr>
          <w:rFonts w:hint="eastAsia" w:ascii="宋体" w:hAnsi="宋体" w:eastAsia="宋体" w:cs="Times New Roman"/>
          <w:sz w:val="24"/>
          <w:szCs w:val="24"/>
        </w:rPr>
        <w:t>且本单位参加</w:t>
      </w:r>
      <w:r>
        <w:rPr>
          <w:rFonts w:hint="eastAsia" w:ascii="宋体" w:hAnsi="宋体" w:eastAsia="宋体" w:cs="Times New Roman"/>
          <w:sz w:val="24"/>
          <w:szCs w:val="24"/>
          <w:u w:val="single"/>
        </w:rPr>
        <w:t xml:space="preserve">  （</w:t>
      </w:r>
      <w:r>
        <w:rPr>
          <w:rFonts w:hint="eastAsia" w:ascii="Times New Roman" w:hAnsi="宋体" w:eastAsia="宋体" w:cs="Times New Roman"/>
          <w:sz w:val="24"/>
          <w:szCs w:val="24"/>
          <w:u w:val="single"/>
        </w:rPr>
        <w:t>采购</w:t>
      </w:r>
      <w:r>
        <w:rPr>
          <w:rFonts w:hint="eastAsia" w:ascii="宋体" w:hAnsi="宋体" w:eastAsia="宋体" w:cs="Times New Roman"/>
          <w:sz w:val="24"/>
          <w:szCs w:val="24"/>
          <w:u w:val="single"/>
        </w:rPr>
        <w:t>人）</w:t>
      </w:r>
      <w:r>
        <w:rPr>
          <w:rFonts w:hint="eastAsia" w:ascii="Times New Roman" w:hAnsi="宋体" w:eastAsia="宋体" w:cs="Times New Roman"/>
          <w:sz w:val="24"/>
          <w:szCs w:val="24"/>
        </w:rPr>
        <w:t>的</w:t>
      </w:r>
      <w:r>
        <w:rPr>
          <w:rFonts w:hint="eastAsia" w:cs="Times New Roman" w:asciiTheme="minorEastAsia" w:hAnsiTheme="minorEastAsia"/>
          <w:sz w:val="24"/>
          <w:szCs w:val="24"/>
          <w:u w:val="single"/>
        </w:rPr>
        <w:t>__   _</w:t>
      </w:r>
      <w:r>
        <w:rPr>
          <w:rFonts w:hint="eastAsia" w:ascii="Times New Roman" w:hAnsi="宋体" w:eastAsia="宋体" w:cs="Times New Roman"/>
          <w:sz w:val="24"/>
          <w:szCs w:val="24"/>
        </w:rPr>
        <w:t>项目（项目编号：______）</w:t>
      </w:r>
      <w:r>
        <w:rPr>
          <w:rFonts w:hint="eastAsia" w:ascii="宋体" w:hAnsi="宋体" w:eastAsia="宋体" w:cs="Times New Roman"/>
          <w:sz w:val="24"/>
          <w:szCs w:val="24"/>
        </w:rPr>
        <w:t>采购活动由本单位承担工程（或提供服务）。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本单位对上述声明的真实性负责。如有虚假，将依法承担相应责任。</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left="1080" w:hanging="1080" w:hangingChars="450"/>
        <w:jc w:val="left"/>
        <w:rPr>
          <w:rFonts w:ascii="宋体" w:hAnsi="宋体" w:cs="Courier New"/>
          <w:color w:val="0C0C0C" w:themeColor="text1" w:themeTint="F2"/>
          <w:sz w:val="24"/>
          <w:szCs w:val="21"/>
        </w:rPr>
      </w:pPr>
      <w:r>
        <w:rPr>
          <w:rFonts w:hint="eastAsia" w:ascii="宋体" w:hAnsi="宋体" w:cs="Courier New"/>
          <w:color w:val="0C0C0C" w:themeColor="text1" w:themeTint="F2"/>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0C0C0C" w:themeColor="text1" w:themeTint="F2"/>
          <w:sz w:val="24"/>
          <w:szCs w:val="24"/>
        </w:rPr>
      </w:pPr>
      <w:r>
        <w:rPr>
          <w:rFonts w:hint="eastAsia" w:ascii="宋体" w:hAnsi="宋体" w:cs="Courier New"/>
          <w:color w:val="0C0C0C" w:themeColor="text1" w:themeTint="F2"/>
          <w:sz w:val="24"/>
          <w:szCs w:val="21"/>
        </w:rPr>
        <w:t>2、以联合体方式参与本项目投标的投标人，应由联合体双方签字盖章。</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sz w:val="24"/>
          <w:szCs w:val="21"/>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sz w:val="24"/>
          <w:szCs w:val="24"/>
          <w:u w:val="single"/>
        </w:rPr>
      </w:pPr>
      <w:r>
        <w:rPr>
          <w:rFonts w:hint="eastAsia" w:ascii="Times New Roman" w:hAnsi="宋体" w:eastAsia="宋体" w:cs="Times New Roman"/>
          <w:b/>
          <w:sz w:val="24"/>
          <w:szCs w:val="24"/>
        </w:rPr>
        <w:t>日   期：</w:t>
      </w:r>
    </w:p>
    <w:p>
      <w:r>
        <w:br w:type="page"/>
      </w:r>
    </w:p>
    <w:p>
      <w:pPr>
        <w:spacing w:line="600" w:lineRule="exact"/>
        <w:rPr>
          <w:rFonts w:ascii="Times New Roman" w:hAnsi="Times New Roman" w:eastAsia="宋体" w:cs="Times New Roman"/>
          <w:b/>
          <w:sz w:val="24"/>
          <w:szCs w:val="24"/>
        </w:rPr>
      </w:pPr>
      <w:r>
        <w:rPr>
          <w:rFonts w:hint="eastAsia" w:ascii="Times New Roman" w:hAnsi="Times New Roman" w:eastAsia="宋体" w:cs="Times New Roman"/>
          <w:b/>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
      <w:r>
        <w:br w:type="page"/>
      </w:r>
    </w:p>
    <w:p>
      <w:pPr>
        <w:pStyle w:val="3"/>
        <w:numPr>
          <w:ilvl w:val="0"/>
          <w:numId w:val="85"/>
        </w:numPr>
        <w:spacing w:before="100" w:beforeAutospacing="1" w:afterLines="50" w:line="360" w:lineRule="auto"/>
        <w:ind w:left="1288" w:hanging="1288"/>
        <w:rPr>
          <w:rFonts w:ascii="宋体" w:hAnsi="宋体" w:eastAsia="宋体"/>
        </w:rPr>
      </w:pPr>
      <w:bookmarkStart w:id="155" w:name="_Toc494665558"/>
      <w:bookmarkStart w:id="156" w:name="_Toc494702275"/>
      <w:bookmarkStart w:id="157" w:name="_Toc494665005"/>
      <w:bookmarkStart w:id="158" w:name="_Toc494665955"/>
      <w:bookmarkStart w:id="159" w:name="_Toc494721105"/>
      <w:bookmarkStart w:id="160" w:name="_Toc494577410"/>
      <w:bookmarkStart w:id="161" w:name="_Toc48230918"/>
      <w:bookmarkStart w:id="162" w:name="_Toc494745322"/>
      <w:r>
        <w:rPr>
          <w:rFonts w:hint="eastAsia" w:ascii="宋体" w:hAnsi="宋体" w:eastAsia="宋体"/>
        </w:rPr>
        <w:t>开标一览表</w:t>
      </w:r>
      <w:bookmarkEnd w:id="155"/>
      <w:bookmarkEnd w:id="156"/>
      <w:bookmarkEnd w:id="157"/>
      <w:bookmarkEnd w:id="158"/>
      <w:bookmarkEnd w:id="159"/>
      <w:bookmarkEnd w:id="160"/>
      <w:bookmarkEnd w:id="161"/>
      <w:bookmarkEnd w:id="162"/>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bCs/>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783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投标总报价</w:t>
            </w:r>
          </w:p>
        </w:tc>
        <w:tc>
          <w:tcPr>
            <w:tcW w:w="7839" w:type="dxa"/>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小写：万元整（¥）</w:t>
            </w:r>
          </w:p>
          <w:p>
            <w:pPr>
              <w:spacing w:after="120" w:line="400" w:lineRule="atLeast"/>
              <w:ind w:left="205" w:leftChars="98" w:right="-65" w:rightChars="-31"/>
              <w:jc w:val="left"/>
              <w:rPr>
                <w:rFonts w:ascii="宋体" w:hAnsi="宋体" w:eastAsia="宋体" w:cs="宋体"/>
                <w:kern w:val="0"/>
                <w:sz w:val="24"/>
                <w:szCs w:val="24"/>
              </w:rPr>
            </w:pPr>
            <w:r>
              <w:rPr>
                <w:rFonts w:hint="eastAsia" w:ascii="宋体" w:hAnsi="宋体" w:eastAsia="宋体" w:cs="宋体"/>
                <w:kern w:val="0"/>
                <w:sz w:val="24"/>
                <w:szCs w:val="24"/>
              </w:rPr>
              <w:t>大写：万仟佰十元整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08"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成果完成时间</w:t>
            </w:r>
          </w:p>
        </w:tc>
        <w:tc>
          <w:tcPr>
            <w:tcW w:w="7839"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kern w:val="0"/>
                <w:sz w:val="24"/>
                <w:szCs w:val="24"/>
              </w:rPr>
            </w:pPr>
            <w:r>
              <w:rPr>
                <w:rFonts w:hint="eastAsia" w:ascii="宋体" w:hAnsi="宋体" w:eastAsia="宋体" w:cs="宋体"/>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7839" w:type="dxa"/>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FF0000"/>
                <w:sz w:val="24"/>
              </w:rPr>
            </w:pPr>
            <w:r>
              <w:rPr>
                <w:rFonts w:hint="eastAsia" w:ascii="Times New Roman" w:hAnsi="宋体" w:eastAsia="宋体" w:cs="Times New Roman"/>
                <w:color w:val="FF0000"/>
                <w:sz w:val="24"/>
                <w:szCs w:val="24"/>
              </w:rPr>
              <w:t>小型和微型企业、监狱企业、残疾人福利性单位价格扣除</w:t>
            </w:r>
            <w:r>
              <w:rPr>
                <w:rFonts w:hint="eastAsia" w:ascii="宋体" w:hAnsi="宋体" w:eastAsia="宋体" w:cs="Times New Roman"/>
                <w:color w:val="FF0000"/>
                <w:sz w:val="24"/>
              </w:rPr>
              <w:t>合计（</w:t>
            </w:r>
            <w:r>
              <w:rPr>
                <w:rFonts w:hint="eastAsia" w:ascii="宋体" w:hAnsi="宋体" w:eastAsia="宋体" w:cs="宋体"/>
                <w:color w:val="FF0000"/>
                <w:kern w:val="0"/>
                <w:sz w:val="24"/>
                <w:szCs w:val="24"/>
              </w:rPr>
              <w:t>大写</w:t>
            </w:r>
            <w:r>
              <w:rPr>
                <w:rFonts w:hint="eastAsia" w:ascii="宋体" w:hAnsi="宋体" w:eastAsia="宋体" w:cs="Times New Roman"/>
                <w:color w:val="FF0000"/>
                <w:sz w:val="24"/>
              </w:rPr>
              <w:t>）：</w:t>
            </w:r>
          </w:p>
          <w:p>
            <w:pPr>
              <w:spacing w:line="276" w:lineRule="auto"/>
              <w:ind w:left="-48" w:leftChars="-23" w:right="-65" w:rightChars="-31"/>
              <w:jc w:val="left"/>
              <w:rPr>
                <w:rFonts w:ascii="宋体" w:hAnsi="宋体" w:eastAsia="宋体" w:cs="宋体"/>
                <w:kern w:val="0"/>
                <w:sz w:val="24"/>
                <w:szCs w:val="24"/>
                <w:lang w:val="zh-CN"/>
              </w:rPr>
            </w:pPr>
            <w:r>
              <w:rPr>
                <w:rFonts w:hint="eastAsia" w:ascii="宋体" w:hAnsi="宋体" w:eastAsia="宋体" w:cs="宋体"/>
                <w:color w:val="FF0000"/>
                <w:kern w:val="0"/>
                <w:sz w:val="24"/>
                <w:szCs w:val="24"/>
              </w:rPr>
              <w:t>万仟佰拾元整</w:t>
            </w:r>
            <w:r>
              <w:rPr>
                <w:rFonts w:hint="eastAsia" w:ascii="宋体" w:hAnsi="宋体" w:cs="宋体"/>
                <w:color w:val="FF0000"/>
                <w:kern w:val="0"/>
                <w:sz w:val="24"/>
              </w:rPr>
              <w:t>（或以联合体投标的，</w:t>
            </w:r>
            <w:r>
              <w:rPr>
                <w:rFonts w:ascii="宋体" w:hAnsi="宋体"/>
                <w:bCs/>
                <w:color w:val="FF0000"/>
                <w:sz w:val="24"/>
              </w:rPr>
              <w:t>联合协议中约定小型、微型企业的协议合同金额占到联合体协议合同总金额的</w:t>
            </w:r>
            <w:r>
              <w:rPr>
                <w:rFonts w:hint="eastAsia" w:ascii="宋体" w:hAnsi="宋体"/>
                <w:bCs/>
                <w:color w:val="FF0000"/>
                <w:sz w:val="24"/>
              </w:rPr>
              <w:t>%）</w:t>
            </w: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说明：1．所有价格均用人民币表示，单位为万元。</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3．为方便开标时唱标，投标人应另附《开标一览表》一份</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w:t>
      </w:r>
      <w:bookmarkStart w:id="279" w:name="_GoBack"/>
      <w:bookmarkEnd w:id="279"/>
      <w:r>
        <w:rPr>
          <w:rFonts w:hint="eastAsia" w:ascii="宋体" w:hAnsi="宋体" w:eastAsia="宋体" w:cs="Times New Roman"/>
          <w:sz w:val="24"/>
          <w:szCs w:val="24"/>
        </w:rPr>
        <w:t>应按要求由投标人法人授权代表签字，并加盖投标单位公章，否则将被视为非响应性投标，将按照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sz w:val="24"/>
          <w:szCs w:val="21"/>
          <w:u w:val="single"/>
          <w:lang w:val="zh-CN"/>
        </w:rPr>
      </w:pPr>
      <w:r>
        <w:rPr>
          <w:rFonts w:hint="eastAsia" w:ascii="宋体" w:hAnsi="宋体" w:eastAsia="宋体" w:cs="Times New Roman"/>
          <w:b/>
          <w:bCs/>
          <w:sz w:val="24"/>
          <w:szCs w:val="21"/>
          <w:lang w:val="zh-CN"/>
        </w:rPr>
        <w:t>投标时间：</w:t>
      </w:r>
    </w:p>
    <w:p>
      <w:r>
        <w:br w:type="page"/>
      </w:r>
    </w:p>
    <w:p>
      <w:pPr>
        <w:pStyle w:val="3"/>
        <w:numPr>
          <w:ilvl w:val="0"/>
          <w:numId w:val="85"/>
        </w:numPr>
        <w:spacing w:before="100" w:beforeAutospacing="1" w:afterLines="50" w:line="360" w:lineRule="auto"/>
        <w:ind w:left="1288" w:hanging="1288"/>
        <w:rPr>
          <w:rFonts w:ascii="宋体" w:hAnsi="宋体" w:eastAsia="宋体"/>
        </w:rPr>
      </w:pPr>
      <w:bookmarkStart w:id="163" w:name="_Toc494721106"/>
      <w:bookmarkStart w:id="164" w:name="_Toc48230919"/>
      <w:bookmarkStart w:id="165" w:name="_Toc494665006"/>
      <w:bookmarkStart w:id="166" w:name="_Toc494665559"/>
      <w:bookmarkStart w:id="167" w:name="_Toc494577411"/>
      <w:bookmarkStart w:id="168" w:name="_Toc494665956"/>
      <w:bookmarkStart w:id="169" w:name="_Toc494745323"/>
      <w:bookmarkStart w:id="170" w:name="_Toc494702276"/>
      <w:r>
        <w:rPr>
          <w:rFonts w:hint="eastAsia" w:ascii="宋体" w:hAnsi="宋体" w:eastAsia="宋体"/>
        </w:rPr>
        <w:t>投标报价明细表</w:t>
      </w:r>
      <w:bookmarkEnd w:id="163"/>
      <w:bookmarkEnd w:id="164"/>
      <w:bookmarkEnd w:id="165"/>
      <w:bookmarkEnd w:id="166"/>
      <w:bookmarkEnd w:id="167"/>
      <w:bookmarkEnd w:id="168"/>
      <w:bookmarkEnd w:id="169"/>
      <w:bookmarkEnd w:id="170"/>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投 标 人：</w:t>
      </w:r>
    </w:p>
    <w:p>
      <w:pPr>
        <w:spacing w:line="360" w:lineRule="auto"/>
        <w:jc w:val="left"/>
        <w:rPr>
          <w:rFonts w:ascii="宋体" w:hAnsi="宋体" w:eastAsia="宋体" w:cs="Times New Roman"/>
          <w:b/>
          <w:sz w:val="24"/>
          <w:szCs w:val="21"/>
          <w:lang w:val="zh-CN"/>
        </w:rPr>
      </w:pPr>
      <w:r>
        <w:rPr>
          <w:rFonts w:hint="eastAsia" w:ascii="宋体" w:hAnsi="宋体" w:eastAsia="宋体" w:cs="Times New Roman"/>
          <w:b/>
          <w:sz w:val="24"/>
          <w:szCs w:val="21"/>
          <w:lang w:val="zh-CN"/>
        </w:rPr>
        <w:t>项目名称：</w:t>
      </w:r>
    </w:p>
    <w:p>
      <w:pPr>
        <w:spacing w:line="360" w:lineRule="auto"/>
        <w:jc w:val="left"/>
        <w:rPr>
          <w:rFonts w:ascii="宋体" w:hAnsi="宋体" w:eastAsia="宋体" w:cs="Times New Roman"/>
          <w:b/>
          <w:sz w:val="24"/>
          <w:szCs w:val="21"/>
          <w:u w:val="single"/>
          <w:lang w:val="zh-CN"/>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0D0D0D"/>
                <w:kern w:val="0"/>
                <w:sz w:val="24"/>
              </w:rPr>
            </w:pPr>
            <w:r>
              <w:rPr>
                <w:rFonts w:hint="eastAsia" w:ascii="宋体" w:hAnsi="宋体"/>
                <w:color w:val="0C0C0C" w:themeColor="text1" w:themeTint="F2"/>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0D0D0D"/>
                <w:kern w:val="0"/>
                <w:sz w:val="24"/>
              </w:rPr>
            </w:pPr>
            <w:r>
              <w:rPr>
                <w:rFonts w:hint="eastAsia" w:ascii="宋体" w:hAnsi="宋体" w:cs="宋体"/>
                <w:color w:val="0D0D0D"/>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8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sz w:val="24"/>
              </w:rPr>
            </w:pPr>
            <w:r>
              <w:rPr>
                <w:rFonts w:hint="eastAsia" w:ascii="宋体" w:hAnsi="宋体"/>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8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8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8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8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8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88"/>
              </w:numPr>
              <w:tabs>
                <w:tab w:val="left" w:pos="82"/>
              </w:tabs>
              <w:adjustRightInd w:val="0"/>
              <w:snapToGrid w:val="0"/>
              <w:jc w:val="center"/>
              <w:rPr>
                <w:rFonts w:ascii="宋体" w:hAnsi="宋体"/>
                <w:sz w:val="24"/>
              </w:rPr>
            </w:pPr>
          </w:p>
        </w:tc>
        <w:tc>
          <w:tcPr>
            <w:tcW w:w="2611" w:type="dxa"/>
            <w:shd w:val="clear" w:color="auto" w:fill="auto"/>
            <w:vAlign w:val="center"/>
          </w:tcPr>
          <w:p>
            <w:pPr>
              <w:tabs>
                <w:tab w:val="left" w:pos="0"/>
                <w:tab w:val="left" w:pos="56"/>
              </w:tabs>
              <w:adjustRightInd w:val="0"/>
              <w:snapToGrid w:val="0"/>
              <w:jc w:val="center"/>
              <w:rPr>
                <w:rFonts w:ascii="宋体" w:hAnsi="宋体"/>
                <w:sz w:val="24"/>
              </w:rPr>
            </w:pPr>
            <w:r>
              <w:rPr>
                <w:rFonts w:hint="eastAsia" w:ascii="宋体" w:hAnsi="宋体"/>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sz w:val="24"/>
              </w:rPr>
            </w:pPr>
            <w:r>
              <w:rPr>
                <w:rFonts w:hint="eastAsia" w:ascii="宋体" w:hAnsi="宋体"/>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0D0D0D"/>
                <w:kern w:val="0"/>
                <w:sz w:val="24"/>
                <w:szCs w:val="24"/>
              </w:rPr>
            </w:pPr>
            <w:r>
              <w:rPr>
                <w:rFonts w:hint="eastAsia" w:ascii="宋体" w:hAnsi="宋体" w:eastAsia="宋体" w:cs="宋体"/>
                <w:color w:val="0D0D0D"/>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0D0D0D"/>
                <w:kern w:val="0"/>
                <w:sz w:val="24"/>
                <w:szCs w:val="24"/>
              </w:rPr>
            </w:pPr>
          </w:p>
        </w:tc>
      </w:tr>
    </w:tbl>
    <w:p>
      <w:pPr>
        <w:spacing w:line="360" w:lineRule="auto"/>
        <w:ind w:left="1049" w:hanging="1048" w:hangingChars="437"/>
        <w:jc w:val="left"/>
        <w:rPr>
          <w:rFonts w:ascii="宋体" w:hAnsi="宋体"/>
          <w:sz w:val="24"/>
        </w:rPr>
      </w:pPr>
      <w:r>
        <w:rPr>
          <w:rFonts w:hint="eastAsia" w:ascii="宋体" w:hAnsi="宋体"/>
          <w:sz w:val="24"/>
        </w:rPr>
        <w:t>说明：1．所有价格均用人民币表示，单位为元。</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2．报价明细表合计应与《开标一览表》中的投标总报价一致。</w:t>
      </w:r>
    </w:p>
    <w:p>
      <w:pPr>
        <w:spacing w:line="360" w:lineRule="auto"/>
        <w:ind w:left="1061" w:leftChars="339" w:hanging="350" w:hangingChars="146"/>
        <w:jc w:val="left"/>
        <w:rPr>
          <w:rFonts w:ascii="宋体" w:hAnsi="宋体"/>
          <w:color w:val="0D0D0D"/>
          <w:sz w:val="24"/>
        </w:rPr>
      </w:pPr>
      <w:r>
        <w:rPr>
          <w:rFonts w:hint="eastAsia" w:ascii="宋体" w:hAnsi="宋体"/>
          <w:color w:val="0D0D0D"/>
          <w:sz w:val="24"/>
        </w:rPr>
        <w:t>3．未提供详细的货物（工程或服务）报价明细</w:t>
      </w:r>
      <w:r>
        <w:rPr>
          <w:rFonts w:hint="eastAsia" w:ascii="宋体" w:hAnsi="宋体" w:cs="Corbel"/>
          <w:sz w:val="24"/>
        </w:rPr>
        <w:t>，</w:t>
      </w:r>
      <w:r>
        <w:rPr>
          <w:rFonts w:hint="eastAsia" w:ascii="宋体" w:hAnsi="宋体"/>
          <w:sz w:val="24"/>
        </w:rPr>
        <w:t>导致的后果由投标人自行承担。</w:t>
      </w: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line="360" w:lineRule="auto"/>
        <w:ind w:left="950" w:hanging="950" w:hangingChars="396"/>
        <w:jc w:val="left"/>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288" w:hanging="1288"/>
        <w:rPr>
          <w:rFonts w:ascii="宋体" w:hAnsi="宋体" w:eastAsia="宋体"/>
          <w:sz w:val="31"/>
          <w:szCs w:val="31"/>
        </w:rPr>
      </w:pPr>
      <w:bookmarkStart w:id="171" w:name="_Toc494665007"/>
      <w:bookmarkStart w:id="172" w:name="_Toc494577412"/>
      <w:bookmarkStart w:id="173" w:name="_Toc494721107"/>
      <w:bookmarkStart w:id="174" w:name="_Toc48230920"/>
      <w:bookmarkStart w:id="175" w:name="_Toc494665560"/>
      <w:bookmarkStart w:id="176" w:name="_Toc494745324"/>
      <w:bookmarkStart w:id="177" w:name="_Toc494702277"/>
      <w:bookmarkStart w:id="178" w:name="_Toc494665957"/>
      <w:r>
        <w:rPr>
          <w:rFonts w:hint="eastAsia" w:ascii="宋体" w:hAnsi="宋体" w:eastAsia="宋体"/>
          <w:sz w:val="31"/>
          <w:szCs w:val="31"/>
        </w:rPr>
        <w:t>小型和微型企业、监狱企业、残疾人福利性单位货物汇总表</w:t>
      </w:r>
      <w:bookmarkEnd w:id="171"/>
      <w:bookmarkEnd w:id="172"/>
      <w:bookmarkEnd w:id="173"/>
      <w:bookmarkEnd w:id="174"/>
      <w:bookmarkEnd w:id="175"/>
      <w:bookmarkEnd w:id="176"/>
      <w:bookmarkEnd w:id="177"/>
      <w:bookmarkEnd w:id="17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分项</w:t>
            </w:r>
          </w:p>
          <w:p>
            <w:pPr>
              <w:adjustRightInd w:val="0"/>
              <w:snapToGrid w:val="0"/>
              <w:ind w:left="-88" w:leftChars="-42"/>
              <w:jc w:val="center"/>
              <w:rPr>
                <w:rFonts w:ascii="宋体" w:hAnsi="宋体"/>
                <w:sz w:val="24"/>
              </w:rPr>
            </w:pPr>
            <w:r>
              <w:rPr>
                <w:rFonts w:hint="eastAsia" w:ascii="宋体" w:hAnsi="宋体"/>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sz w:val="24"/>
              </w:rPr>
            </w:pPr>
            <w:r>
              <w:rPr>
                <w:rFonts w:hint="eastAsia" w:ascii="宋体" w:hAnsi="宋体"/>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1</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2</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3</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4</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5</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6</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7</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r>
              <w:rPr>
                <w:rFonts w:hint="eastAsia" w:ascii="宋体" w:hAnsi="宋体" w:cs="宋体"/>
                <w:color w:val="0D0D0D"/>
                <w:kern w:val="0"/>
                <w:sz w:val="24"/>
              </w:rPr>
              <w:t>…</w:t>
            </w:r>
          </w:p>
        </w:tc>
        <w:tc>
          <w:tcPr>
            <w:tcW w:w="1552" w:type="dxa"/>
          </w:tcPr>
          <w:p>
            <w:pPr>
              <w:tabs>
                <w:tab w:val="left" w:pos="0"/>
                <w:tab w:val="left" w:pos="56"/>
              </w:tabs>
              <w:adjustRightInd w:val="0"/>
              <w:snapToGrid w:val="0"/>
              <w:jc w:val="center"/>
              <w:rPr>
                <w:rFonts w:ascii="宋体" w:hAnsi="宋体" w:cs="宋体"/>
                <w:color w:val="0D0D0D"/>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0D0D0D"/>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sz w:val="24"/>
              </w:rPr>
            </w:pPr>
            <w:r>
              <w:rPr>
                <w:rFonts w:hint="eastAsia" w:ascii="宋体" w:hAnsi="宋体"/>
                <w:bCs/>
                <w:sz w:val="24"/>
              </w:rPr>
              <w:t>合计</w:t>
            </w:r>
          </w:p>
        </w:tc>
        <w:tc>
          <w:tcPr>
            <w:tcW w:w="2602" w:type="dxa"/>
            <w:gridSpan w:val="2"/>
            <w:shd w:val="clear" w:color="auto" w:fill="auto"/>
            <w:vAlign w:val="center"/>
          </w:tcPr>
          <w:p>
            <w:pPr>
              <w:spacing w:line="360" w:lineRule="auto"/>
              <w:jc w:val="left"/>
              <w:rPr>
                <w:rFonts w:ascii="宋体" w:hAnsi="宋体"/>
                <w:bCs/>
                <w:sz w:val="24"/>
              </w:rPr>
            </w:pPr>
          </w:p>
        </w:tc>
      </w:tr>
    </w:tbl>
    <w:p>
      <w:pPr>
        <w:spacing w:line="360" w:lineRule="auto"/>
        <w:ind w:left="1049" w:hanging="1048" w:hangingChars="437"/>
        <w:jc w:val="left"/>
        <w:rPr>
          <w:rFonts w:ascii="宋体" w:hAnsi="宋体"/>
          <w:sz w:val="24"/>
        </w:rPr>
      </w:pPr>
      <w:r>
        <w:rPr>
          <w:rFonts w:hint="eastAsia" w:ascii="宋体" w:hAnsi="宋体"/>
          <w:sz w:val="24"/>
        </w:rPr>
        <w:t>说明：1</w:t>
      </w:r>
      <w:r>
        <w:rPr>
          <w:rFonts w:hint="eastAsia" w:ascii="宋体" w:hAnsi="宋体" w:eastAsia="宋体" w:cs="Times New Roman"/>
          <w:sz w:val="24"/>
          <w:szCs w:val="24"/>
        </w:rPr>
        <w:t>．</w:t>
      </w:r>
      <w:r>
        <w:rPr>
          <w:rFonts w:hint="eastAsia" w:ascii="宋体" w:hAnsi="宋体"/>
          <w:sz w:val="24"/>
        </w:rPr>
        <w:t>所有价格均用人民币表示，单位为元。</w:t>
      </w:r>
    </w:p>
    <w:p>
      <w:pPr>
        <w:spacing w:line="360" w:lineRule="auto"/>
        <w:ind w:left="1061" w:leftChars="339" w:hanging="350" w:hangingChars="146"/>
        <w:jc w:val="left"/>
        <w:rPr>
          <w:rFonts w:ascii="宋体" w:hAnsi="宋体"/>
          <w:sz w:val="24"/>
        </w:rPr>
      </w:pPr>
      <w:r>
        <w:rPr>
          <w:rFonts w:hint="eastAsia" w:ascii="宋体" w:hAnsi="宋体"/>
          <w:sz w:val="24"/>
        </w:rPr>
        <w:t>2</w:t>
      </w:r>
      <w:r>
        <w:rPr>
          <w:rFonts w:hint="eastAsia" w:ascii="宋体" w:hAnsi="宋体" w:eastAsia="宋体" w:cs="Times New Roman"/>
          <w:sz w:val="24"/>
          <w:szCs w:val="24"/>
        </w:rPr>
        <w:t>．</w:t>
      </w:r>
      <w:r>
        <w:rPr>
          <w:rFonts w:hint="eastAsia" w:ascii="宋体" w:hAnsi="宋体"/>
          <w:color w:val="0D0D0D"/>
          <w:sz w:val="24"/>
        </w:rPr>
        <w:t>投标人</w:t>
      </w:r>
      <w:r>
        <w:rPr>
          <w:rFonts w:hint="eastAsia" w:ascii="宋体" w:hAnsi="宋体"/>
          <w:sz w:val="24"/>
        </w:rPr>
        <w:t>提供的相关证明文件对应页码填写到上表“投标文件对应的页码”中。</w:t>
      </w:r>
      <w:r>
        <w:rPr>
          <w:rFonts w:hint="eastAsia" w:ascii="宋体" w:hAnsi="宋体" w:cs="Corbel"/>
          <w:sz w:val="24"/>
        </w:rPr>
        <w:t>如未提供页码或内容页码完全不一致的，</w:t>
      </w:r>
      <w:r>
        <w:rPr>
          <w:rFonts w:hint="eastAsia" w:ascii="宋体" w:hAnsi="宋体"/>
          <w:sz w:val="24"/>
        </w:rPr>
        <w:t>导致的后果由投标人自行承担。</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288" w:hanging="1288"/>
        <w:rPr>
          <w:rFonts w:ascii="宋体" w:hAnsi="宋体" w:eastAsia="宋体"/>
        </w:rPr>
      </w:pPr>
      <w:bookmarkStart w:id="179" w:name="_Toc494745325"/>
      <w:bookmarkStart w:id="180" w:name="_Toc494721108"/>
      <w:bookmarkStart w:id="181" w:name="_Toc494665958"/>
      <w:bookmarkStart w:id="182" w:name="_Toc494665561"/>
      <w:bookmarkStart w:id="183" w:name="_Toc48230921"/>
      <w:bookmarkStart w:id="184" w:name="_Toc494665008"/>
      <w:bookmarkStart w:id="185" w:name="_Toc494702278"/>
      <w:r>
        <w:rPr>
          <w:rFonts w:hint="eastAsia" w:ascii="宋体" w:hAnsi="宋体" w:eastAsia="宋体"/>
        </w:rPr>
        <w:t>投标货物（工程或服务）清单</w:t>
      </w:r>
      <w:bookmarkEnd w:id="179"/>
      <w:bookmarkEnd w:id="180"/>
      <w:bookmarkEnd w:id="181"/>
      <w:bookmarkEnd w:id="182"/>
      <w:bookmarkEnd w:id="183"/>
      <w:bookmarkEnd w:id="184"/>
      <w:bookmarkEnd w:id="185"/>
    </w:p>
    <w:p>
      <w:pPr>
        <w:adjustRightInd w:val="0"/>
        <w:snapToGrid w:val="0"/>
        <w:spacing w:line="360" w:lineRule="auto"/>
        <w:rPr>
          <w:rFonts w:ascii="宋体" w:hAnsi="宋体"/>
          <w:b/>
          <w:sz w:val="24"/>
        </w:rPr>
      </w:pPr>
      <w:r>
        <w:rPr>
          <w:rFonts w:hint="eastAsia" w:ascii="宋体" w:hAnsi="宋体"/>
          <w:b/>
          <w:sz w:val="24"/>
        </w:rPr>
        <w:t>投 标 人：</w:t>
      </w:r>
    </w:p>
    <w:p>
      <w:pPr>
        <w:adjustRightInd w:val="0"/>
        <w:snapToGrid w:val="0"/>
        <w:spacing w:line="360" w:lineRule="auto"/>
        <w:rPr>
          <w:rFonts w:ascii="宋体" w:hAnsi="宋体"/>
          <w:b/>
          <w:color w:val="FF0000"/>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0D0D0D"/>
                <w:kern w:val="0"/>
                <w:sz w:val="24"/>
              </w:rPr>
            </w:pPr>
            <w:r>
              <w:rPr>
                <w:rFonts w:hint="eastAsia" w:ascii="宋体" w:hAnsi="宋体" w:cs="宋体"/>
                <w:color w:val="0D0D0D"/>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0D0D0D"/>
                <w:kern w:val="0"/>
                <w:sz w:val="24"/>
              </w:rPr>
            </w:pPr>
            <w:r>
              <w:rPr>
                <w:rFonts w:hint="eastAsia" w:ascii="宋体" w:hAnsi="宋体" w:cs="宋体"/>
                <w:color w:val="0D0D0D"/>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sz w:val="24"/>
              </w:rPr>
            </w:pPr>
            <w:r>
              <w:rPr>
                <w:rFonts w:hint="eastAsia" w:ascii="宋体" w:hAnsi="宋体"/>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sz w:val="24"/>
              </w:rPr>
            </w:pPr>
          </w:p>
        </w:tc>
        <w:tc>
          <w:tcPr>
            <w:tcW w:w="2459" w:type="dxa"/>
            <w:tcBorders>
              <w:top w:val="single" w:color="auto" w:sz="4" w:space="0"/>
            </w:tcBorders>
            <w:vAlign w:val="center"/>
          </w:tcPr>
          <w:p>
            <w:pPr>
              <w:adjustRightInd w:val="0"/>
              <w:snapToGrid w:val="0"/>
              <w:jc w:val="center"/>
              <w:rPr>
                <w:rFonts w:ascii="宋体" w:hAnsi="宋体"/>
                <w:sz w:val="24"/>
              </w:rPr>
            </w:pPr>
          </w:p>
        </w:tc>
        <w:tc>
          <w:tcPr>
            <w:tcW w:w="851" w:type="dxa"/>
            <w:tcBorders>
              <w:top w:val="single" w:color="auto" w:sz="4" w:space="0"/>
            </w:tcBorders>
            <w:vAlign w:val="center"/>
          </w:tcPr>
          <w:p>
            <w:pPr>
              <w:adjustRightInd w:val="0"/>
              <w:snapToGrid w:val="0"/>
              <w:jc w:val="center"/>
              <w:rPr>
                <w:rFonts w:ascii="宋体" w:hAnsi="宋体"/>
                <w:sz w:val="24"/>
              </w:rPr>
            </w:pPr>
          </w:p>
        </w:tc>
        <w:tc>
          <w:tcPr>
            <w:tcW w:w="2593" w:type="dxa"/>
            <w:tcBorders>
              <w:top w:val="single" w:color="auto" w:sz="4" w:space="0"/>
            </w:tcBorders>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2</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3</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ind w:left="-88" w:leftChars="-42"/>
              <w:jc w:val="center"/>
              <w:rPr>
                <w:rFonts w:ascii="宋体" w:hAnsi="宋体"/>
                <w:sz w:val="24"/>
              </w:rPr>
            </w:pPr>
          </w:p>
        </w:tc>
        <w:tc>
          <w:tcPr>
            <w:tcW w:w="851" w:type="dxa"/>
            <w:vAlign w:val="center"/>
          </w:tcPr>
          <w:p>
            <w:pPr>
              <w:adjustRightInd w:val="0"/>
              <w:snapToGrid w:val="0"/>
              <w:ind w:left="-88" w:leftChars="-42"/>
              <w:jc w:val="center"/>
              <w:rPr>
                <w:rFonts w:ascii="宋体" w:hAnsi="宋体"/>
                <w:sz w:val="24"/>
              </w:rPr>
            </w:pPr>
          </w:p>
        </w:tc>
        <w:tc>
          <w:tcPr>
            <w:tcW w:w="2593" w:type="dxa"/>
            <w:vAlign w:val="center"/>
          </w:tcPr>
          <w:p>
            <w:pPr>
              <w:adjustRightInd w:val="0"/>
              <w:snapToGrid w:val="0"/>
              <w:ind w:left="-88" w:leftChars="-42"/>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4</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5</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6</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7</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sz w:val="24"/>
              </w:rPr>
            </w:pPr>
            <w:r>
              <w:rPr>
                <w:rFonts w:hint="eastAsia" w:ascii="宋体" w:hAnsi="宋体"/>
                <w:sz w:val="24"/>
              </w:rPr>
              <w:t>…</w:t>
            </w:r>
          </w:p>
        </w:tc>
        <w:tc>
          <w:tcPr>
            <w:tcW w:w="2722" w:type="dxa"/>
            <w:vAlign w:val="center"/>
          </w:tcPr>
          <w:p>
            <w:pPr>
              <w:adjustRightInd w:val="0"/>
              <w:snapToGrid w:val="0"/>
              <w:ind w:left="-88" w:leftChars="-42"/>
              <w:jc w:val="center"/>
              <w:rPr>
                <w:rFonts w:ascii="宋体" w:hAnsi="宋体"/>
                <w:sz w:val="24"/>
              </w:rPr>
            </w:pPr>
          </w:p>
        </w:tc>
        <w:tc>
          <w:tcPr>
            <w:tcW w:w="2459" w:type="dxa"/>
            <w:vAlign w:val="center"/>
          </w:tcPr>
          <w:p>
            <w:pPr>
              <w:adjustRightInd w:val="0"/>
              <w:snapToGrid w:val="0"/>
              <w:jc w:val="center"/>
              <w:rPr>
                <w:rFonts w:ascii="宋体" w:hAnsi="宋体"/>
                <w:sz w:val="24"/>
              </w:rPr>
            </w:pPr>
          </w:p>
        </w:tc>
        <w:tc>
          <w:tcPr>
            <w:tcW w:w="851" w:type="dxa"/>
            <w:vAlign w:val="center"/>
          </w:tcPr>
          <w:p>
            <w:pPr>
              <w:adjustRightInd w:val="0"/>
              <w:snapToGrid w:val="0"/>
              <w:jc w:val="center"/>
              <w:rPr>
                <w:rFonts w:ascii="宋体" w:hAnsi="宋体"/>
                <w:sz w:val="24"/>
              </w:rPr>
            </w:pPr>
          </w:p>
        </w:tc>
        <w:tc>
          <w:tcPr>
            <w:tcW w:w="2593" w:type="dxa"/>
            <w:vAlign w:val="center"/>
          </w:tcPr>
          <w:p>
            <w:pPr>
              <w:adjustRightInd w:val="0"/>
              <w:snapToGrid w:val="0"/>
              <w:jc w:val="center"/>
              <w:rPr>
                <w:rFonts w:ascii="宋体" w:hAnsi="宋体"/>
                <w:sz w:val="24"/>
              </w:rPr>
            </w:pPr>
          </w:p>
        </w:tc>
      </w:tr>
    </w:tbl>
    <w:p>
      <w:pPr>
        <w:spacing w:line="360" w:lineRule="auto"/>
        <w:ind w:left="1078" w:hanging="1077" w:hangingChars="449"/>
        <w:jc w:val="left"/>
        <w:rPr>
          <w:rFonts w:ascii="宋体" w:hAnsi="宋体"/>
          <w:sz w:val="24"/>
        </w:rPr>
      </w:pPr>
      <w:r>
        <w:rPr>
          <w:rFonts w:hint="eastAsia" w:ascii="宋体" w:hAnsi="宋体"/>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sz w:val="24"/>
        </w:rPr>
      </w:pPr>
      <w:r>
        <w:rPr>
          <w:rFonts w:hint="eastAsia" w:ascii="宋体" w:hAnsi="宋体"/>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adjustRightInd w:val="0"/>
        <w:snapToGrid w:val="0"/>
        <w:spacing w:line="360" w:lineRule="auto"/>
        <w:ind w:left="767" w:leftChars="194" w:hanging="360" w:hangingChars="150"/>
        <w:rPr>
          <w:rFonts w:ascii="宋体" w:hAnsi="宋体"/>
          <w:sz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288" w:hanging="1288"/>
        <w:rPr>
          <w:rFonts w:ascii="宋体" w:hAnsi="宋体" w:eastAsia="宋体"/>
        </w:rPr>
      </w:pPr>
      <w:bookmarkStart w:id="186" w:name="_Toc494745327"/>
      <w:bookmarkStart w:id="187" w:name="_Toc238276247"/>
      <w:bookmarkStart w:id="188" w:name="_Toc494702280"/>
      <w:bookmarkStart w:id="189" w:name="_Toc236473303"/>
      <w:bookmarkStart w:id="190" w:name="_Toc494665960"/>
      <w:bookmarkStart w:id="191" w:name="_Toc48230922"/>
      <w:bookmarkStart w:id="192" w:name="_Toc494721110"/>
      <w:bookmarkStart w:id="193" w:name="_Toc494665563"/>
      <w:bookmarkStart w:id="194" w:name="_Toc494665010"/>
      <w:r>
        <w:rPr>
          <w:rFonts w:hint="eastAsia" w:ascii="宋体" w:hAnsi="宋体" w:eastAsia="宋体"/>
        </w:rPr>
        <w:t>法定代表人授权书</w:t>
      </w:r>
      <w:bookmarkEnd w:id="186"/>
      <w:bookmarkEnd w:id="187"/>
      <w:bookmarkEnd w:id="188"/>
      <w:bookmarkEnd w:id="189"/>
      <w:bookmarkEnd w:id="190"/>
      <w:bookmarkEnd w:id="191"/>
      <w:bookmarkEnd w:id="192"/>
      <w:bookmarkEnd w:id="193"/>
      <w:bookmarkEnd w:id="194"/>
    </w:p>
    <w:p>
      <w:pPr>
        <w:spacing w:line="480" w:lineRule="auto"/>
        <w:rPr>
          <w:rFonts w:ascii="宋体" w:hAnsi="宋体" w:eastAsia="宋体" w:cs="Times New Roman"/>
          <w:b/>
          <w:sz w:val="24"/>
          <w:szCs w:val="24"/>
        </w:rPr>
      </w:pPr>
      <w:r>
        <w:rPr>
          <w:rFonts w:hint="eastAsia"/>
          <w:b/>
          <w:sz w:val="28"/>
          <w:szCs w:val="28"/>
        </w:rPr>
        <w:t>采购人</w:t>
      </w:r>
      <w:r>
        <w:rPr>
          <w:rFonts w:hint="eastAsia"/>
          <w:b/>
          <w:color w:val="FF0000"/>
          <w:sz w:val="28"/>
          <w:szCs w:val="28"/>
        </w:rPr>
        <w:t>（或代理公司）</w:t>
      </w:r>
      <w:r>
        <w:rPr>
          <w:rFonts w:hint="eastAsia" w:ascii="宋体" w:hAnsi="宋体" w:cs="Courier New"/>
          <w:b/>
          <w:sz w:val="28"/>
          <w:szCs w:val="28"/>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兹授权</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同志为我单位参加贵方组织的</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Times New Roman" w:hAnsi="宋体" w:eastAsia="宋体" w:cs="Times New Roman"/>
          <w:color w:val="0D0D0D"/>
          <w:sz w:val="24"/>
          <w:szCs w:val="24"/>
        </w:rPr>
        <w:t>项目（项目编号：_____</w:t>
      </w:r>
      <w:r>
        <w:rPr>
          <w:rFonts w:hint="eastAsia" w:ascii="Times New Roman" w:hAnsi="宋体" w:eastAsia="宋体" w:cs="Times New Roman"/>
          <w:sz w:val="24"/>
          <w:szCs w:val="24"/>
        </w:rPr>
        <w:t>_）</w:t>
      </w:r>
      <w:r>
        <w:rPr>
          <w:rFonts w:hint="eastAsia" w:ascii="宋体" w:hAnsi="宋体" w:eastAsia="宋体" w:cs="Times New Roman"/>
          <w:sz w:val="24"/>
          <w:szCs w:val="24"/>
        </w:rPr>
        <w:t>采购活动的投标人授权代表，全权代表我公司处理在</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项目采购活动中的一切事宜。代理期限从</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w:t>
      </w:r>
      <w:r>
        <w:rPr>
          <w:rFonts w:hint="eastAsia" w:ascii="宋体" w:hAnsi="宋体" w:eastAsia="宋体" w:cs="Times New Roman"/>
          <w:sz w:val="24"/>
          <w:szCs w:val="24"/>
        </w:rPr>
        <w:t>日起至</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sz w:val="24"/>
          <w:szCs w:val="24"/>
        </w:rPr>
        <w:t xml:space="preserve">日止。 </w:t>
      </w:r>
    </w:p>
    <w:p>
      <w:pPr>
        <w:spacing w:line="360" w:lineRule="auto"/>
        <w:ind w:firstLine="540" w:firstLineChars="225"/>
        <w:rPr>
          <w:rFonts w:ascii="宋体" w:hAnsi="宋体" w:eastAsia="宋体" w:cs="Times New Roman"/>
          <w:sz w:val="24"/>
          <w:szCs w:val="24"/>
        </w:rPr>
      </w:pPr>
      <w:r>
        <w:rPr>
          <w:rFonts w:hint="eastAsia" w:ascii="宋体" w:hAnsi="宋体" w:eastAsia="宋体" w:cs="Times New Roman"/>
          <w:sz w:val="24"/>
          <w:szCs w:val="24"/>
        </w:rPr>
        <w:t>被授权代表无转委托权。</w:t>
      </w:r>
    </w:p>
    <w:p>
      <w:pPr>
        <w:spacing w:line="360" w:lineRule="auto"/>
        <w:ind w:firstLine="540" w:firstLineChars="225"/>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授权单位（公章）：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法定代表人（签字或盖章）</w:t>
      </w:r>
      <w:r>
        <w:rPr>
          <w:rFonts w:hint="eastAsia" w:hAnsi="宋体"/>
          <w:b/>
          <w:bCs/>
          <w:sz w:val="24"/>
        </w:rPr>
        <w:t>：</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sz w:val="24"/>
          <w:szCs w:val="21"/>
          <w:lang w:val="zh-CN"/>
        </w:rPr>
        <w:t>签发日期：</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年</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月</w:t>
      </w:r>
      <w:r>
        <w:rPr>
          <w:rFonts w:hint="eastAsia" w:ascii="Times New Roman" w:hAnsi="宋体" w:eastAsia="宋体" w:cs="Times New Roman"/>
          <w:color w:val="0D0D0D"/>
          <w:sz w:val="24"/>
          <w:szCs w:val="24"/>
        </w:rPr>
        <w:t>___</w:t>
      </w:r>
      <w:r>
        <w:rPr>
          <w:rFonts w:hint="eastAsia" w:ascii="Times New Roman" w:hAnsi="宋体" w:eastAsia="宋体" w:cs="Times New Roman"/>
          <w:sz w:val="24"/>
          <w:szCs w:val="24"/>
        </w:rPr>
        <w:t>_</w:t>
      </w:r>
      <w:r>
        <w:rPr>
          <w:rFonts w:hint="eastAsia" w:ascii="宋体" w:hAnsi="宋体" w:eastAsia="宋体" w:cs="Times New Roman"/>
          <w:b/>
          <w:sz w:val="24"/>
          <w:szCs w:val="21"/>
          <w:lang w:val="zh-CN"/>
        </w:rPr>
        <w:t>日</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投标人授权代表单位名称：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职务： 性别：</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身份证号码：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w:t>
      </w:r>
    </w:p>
    <w:tbl>
      <w:tblPr>
        <w:tblStyle w:val="16"/>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sz w:val="24"/>
                <w:szCs w:val="24"/>
              </w:rPr>
            </w:pPr>
            <w:r>
              <w:rPr>
                <w:rFonts w:hint="eastAsia" w:ascii="宋体" w:hAnsi="宋体" w:eastAsia="宋体" w:cs="Times New Roman"/>
                <w:sz w:val="24"/>
                <w:szCs w:val="24"/>
              </w:rPr>
              <w:t>粘贴被授权人身份证（清晰影印件）</w:t>
            </w:r>
          </w:p>
        </w:tc>
      </w:tr>
    </w:tbl>
    <w:p>
      <w:r>
        <w:br w:type="page"/>
      </w:r>
    </w:p>
    <w:p>
      <w:pPr>
        <w:pStyle w:val="3"/>
        <w:numPr>
          <w:ilvl w:val="0"/>
          <w:numId w:val="85"/>
        </w:numPr>
        <w:spacing w:before="100" w:beforeAutospacing="1" w:afterLines="50" w:line="360" w:lineRule="auto"/>
        <w:ind w:left="1610" w:hanging="1610"/>
        <w:rPr>
          <w:rFonts w:ascii="宋体" w:hAnsi="宋体" w:eastAsia="宋体"/>
        </w:rPr>
      </w:pPr>
      <w:bookmarkStart w:id="195" w:name="_Toc494745328"/>
      <w:bookmarkStart w:id="196" w:name="_Toc236473304"/>
      <w:bookmarkStart w:id="197" w:name="_Toc494721111"/>
      <w:bookmarkStart w:id="198" w:name="_Toc48230923"/>
      <w:bookmarkStart w:id="199" w:name="_Toc238276248"/>
      <w:bookmarkStart w:id="200" w:name="_Toc494702281"/>
      <w:bookmarkStart w:id="201" w:name="_Toc494665961"/>
      <w:bookmarkStart w:id="202" w:name="_Toc494665011"/>
      <w:bookmarkStart w:id="203" w:name="_Toc494665564"/>
      <w:r>
        <w:rPr>
          <w:rFonts w:hint="eastAsia" w:ascii="宋体" w:hAnsi="宋体" w:eastAsia="宋体"/>
        </w:rPr>
        <w:t>投标人的资格声明</w:t>
      </w:r>
      <w:bookmarkEnd w:id="195"/>
      <w:bookmarkEnd w:id="196"/>
      <w:bookmarkEnd w:id="197"/>
      <w:bookmarkEnd w:id="198"/>
      <w:bookmarkEnd w:id="199"/>
      <w:bookmarkEnd w:id="200"/>
      <w:bookmarkEnd w:id="201"/>
      <w:bookmarkEnd w:id="202"/>
      <w:bookmarkEnd w:id="203"/>
    </w:p>
    <w:p>
      <w:pPr>
        <w:spacing w:line="360" w:lineRule="auto"/>
        <w:ind w:left="1078" w:hanging="1077" w:hangingChars="449"/>
        <w:jc w:val="left"/>
        <w:rPr>
          <w:rFonts w:ascii="宋体" w:hAnsi="宋体" w:eastAsia="宋体" w:cs="Times New Roman"/>
          <w:sz w:val="24"/>
          <w:szCs w:val="24"/>
        </w:rPr>
      </w:pPr>
      <w:r>
        <w:rPr>
          <w:rFonts w:hint="eastAsia" w:ascii="宋体" w:hAnsi="宋体" w:eastAsia="宋体" w:cs="Times New Roman"/>
          <w:sz w:val="24"/>
          <w:szCs w:val="24"/>
        </w:rPr>
        <w:t>1．名称及基本情况：</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（1）投标人：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（2）地址：     邮编：</w:t>
      </w:r>
    </w:p>
    <w:p>
      <w:pPr>
        <w:spacing w:line="360" w:lineRule="exact"/>
        <w:ind w:firstLine="840" w:firstLineChars="350"/>
        <w:rPr>
          <w:rFonts w:ascii="宋体" w:hAnsi="宋体" w:eastAsia="宋体" w:cs="Times New Roman"/>
          <w:sz w:val="24"/>
          <w:szCs w:val="24"/>
          <w:u w:val="single"/>
        </w:rPr>
      </w:pPr>
      <w:r>
        <w:rPr>
          <w:rFonts w:hint="eastAsia" w:ascii="宋体" w:hAnsi="宋体" w:eastAsia="宋体" w:cs="Times New Roman"/>
          <w:sz w:val="24"/>
          <w:szCs w:val="24"/>
        </w:rPr>
        <w:t>电话：     传真：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（3）成立或注册日期：</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（4）单位性质：</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（5）法定代表人或主要负责人：</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（6）员工人数：</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（7）注册资本：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（8）实收资本：</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（9）上年末资产负债表：</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1）固定资产</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 xml:space="preserve">原   值：    净   值： </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2）流动资金：</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3）长期负债：</w:t>
      </w:r>
    </w:p>
    <w:p>
      <w:pPr>
        <w:spacing w:line="360" w:lineRule="exact"/>
        <w:ind w:firstLine="727" w:firstLineChars="303"/>
        <w:rPr>
          <w:rFonts w:ascii="宋体" w:hAnsi="宋体" w:eastAsia="宋体" w:cs="Times New Roman"/>
          <w:sz w:val="24"/>
          <w:szCs w:val="24"/>
        </w:rPr>
      </w:pPr>
      <w:r>
        <w:rPr>
          <w:rFonts w:hint="eastAsia" w:ascii="宋体" w:hAnsi="宋体" w:eastAsia="宋体" w:cs="Times New Roman"/>
          <w:sz w:val="24"/>
          <w:szCs w:val="24"/>
        </w:rPr>
        <w:t>4）短期负债：</w:t>
      </w:r>
    </w:p>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2．与投标货物的生产、销售和服务有关的情况： </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（1）关于制造投标货物的设施及其它情况：</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（3）销售、服务网点分布（可另行附表）：</w:t>
      </w:r>
    </w:p>
    <w:tbl>
      <w:tblPr>
        <w:tblStyle w:val="16"/>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r>
              <w:rPr>
                <w:rFonts w:hint="eastAsia" w:ascii="宋体" w:hAnsi="宋体" w:eastAsia="宋体" w:cs="Times New Roman"/>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sz w:val="24"/>
                <w:szCs w:val="24"/>
              </w:rPr>
            </w:pPr>
          </w:p>
        </w:tc>
      </w:tr>
    </w:tbl>
    <w:p>
      <w:pPr>
        <w:spacing w:line="360" w:lineRule="exact"/>
        <w:rPr>
          <w:rFonts w:ascii="宋体" w:hAnsi="宋体" w:eastAsia="宋体" w:cs="Times New Roman"/>
          <w:sz w:val="24"/>
          <w:szCs w:val="24"/>
        </w:rPr>
      </w:pPr>
      <w:r>
        <w:rPr>
          <w:rFonts w:hint="eastAsia" w:ascii="宋体" w:hAnsi="宋体" w:eastAsia="宋体" w:cs="Times New Roman"/>
          <w:sz w:val="24"/>
          <w:szCs w:val="24"/>
        </w:rPr>
        <w:t xml:space="preserve">3．投标人认为需要声明的其它情况：                         </w:t>
      </w:r>
    </w:p>
    <w:p>
      <w:pPr>
        <w:spacing w:line="360" w:lineRule="exact"/>
        <w:ind w:firstLine="475" w:firstLineChars="198"/>
        <w:rPr>
          <w:rFonts w:ascii="宋体" w:hAnsi="宋体" w:eastAsia="宋体" w:cs="Times New Roman"/>
          <w:sz w:val="24"/>
          <w:szCs w:val="24"/>
        </w:rPr>
      </w:pPr>
      <w:r>
        <w:rPr>
          <w:rFonts w:hint="eastAsia" w:ascii="宋体" w:hAnsi="宋体" w:eastAsia="宋体" w:cs="Times New Roman"/>
          <w:sz w:val="24"/>
          <w:szCs w:val="24"/>
        </w:rPr>
        <w:t xml:space="preserve">兹证明上述声明是真实的、正确，并提供了全部能提供的资料和数据，同意按照采购代理机构要求出示有关证明文件。                      </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投标人</w:t>
      </w:r>
      <w:r>
        <w:rPr>
          <w:rFonts w:hint="eastAsia" w:ascii="Times New Roman" w:hAnsi="宋体" w:eastAsia="宋体" w:cs="Times New Roman"/>
          <w:b/>
          <w:sz w:val="24"/>
          <w:szCs w:val="24"/>
        </w:rPr>
        <w:t>（公章）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Times New Roman" w:hAnsi="宋体" w:eastAsia="宋体" w:cs="Times New Roman"/>
          <w:b/>
          <w:sz w:val="24"/>
          <w:szCs w:val="24"/>
        </w:rPr>
        <w:t>法定代表人（签字或盖章）</w:t>
      </w:r>
      <w:r>
        <w:rPr>
          <w:rFonts w:hint="eastAsia" w:ascii="宋体" w:hAnsi="宋体" w:eastAsia="宋体" w:cs="Times New Roman"/>
          <w:b/>
          <w:sz w:val="24"/>
          <w:szCs w:val="24"/>
        </w:rPr>
        <w:t>：</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电    话：</w:t>
      </w:r>
    </w:p>
    <w:p>
      <w:pPr>
        <w:spacing w:line="360" w:lineRule="auto"/>
        <w:ind w:left="504" w:leftChars="240"/>
        <w:rPr>
          <w:rFonts w:ascii="宋体" w:hAnsi="宋体" w:eastAsia="宋体" w:cs="Times New Roman"/>
          <w:b/>
          <w:sz w:val="24"/>
          <w:szCs w:val="24"/>
          <w:u w:val="single"/>
        </w:rPr>
      </w:pPr>
      <w:r>
        <w:rPr>
          <w:rFonts w:hint="eastAsia" w:ascii="宋体" w:hAnsi="宋体" w:eastAsia="宋体" w:cs="Times New Roman"/>
          <w:b/>
          <w:sz w:val="24"/>
          <w:szCs w:val="24"/>
        </w:rPr>
        <w:t>传    真：</w:t>
      </w:r>
    </w:p>
    <w:p>
      <w:pPr>
        <w:spacing w:line="360" w:lineRule="auto"/>
        <w:ind w:left="504" w:leftChars="240"/>
        <w:rPr>
          <w:rFonts w:ascii="宋体" w:hAnsi="宋体" w:eastAsia="宋体" w:cs="Times New Roman"/>
          <w:b/>
          <w:sz w:val="24"/>
          <w:szCs w:val="24"/>
        </w:rPr>
      </w:pPr>
      <w:r>
        <w:rPr>
          <w:rFonts w:hint="eastAsia" w:ascii="宋体" w:hAnsi="宋体" w:eastAsia="宋体" w:cs="Times New Roman"/>
          <w:b/>
          <w:sz w:val="24"/>
          <w:szCs w:val="24"/>
        </w:rPr>
        <w:t>日    期：年月 日</w:t>
      </w:r>
    </w:p>
    <w:p>
      <w:pPr>
        <w:pStyle w:val="3"/>
        <w:numPr>
          <w:ilvl w:val="0"/>
          <w:numId w:val="85"/>
        </w:numPr>
        <w:spacing w:before="100" w:beforeAutospacing="1" w:afterLines="50" w:line="360" w:lineRule="auto"/>
        <w:ind w:left="1610" w:hanging="1610"/>
        <w:rPr>
          <w:rFonts w:ascii="宋体" w:hAnsi="宋体" w:eastAsia="宋体"/>
        </w:rPr>
      </w:pPr>
      <w:bookmarkStart w:id="204" w:name="_Toc494721112"/>
      <w:bookmarkStart w:id="205" w:name="_Toc494665012"/>
      <w:bookmarkStart w:id="206" w:name="_Toc494665962"/>
      <w:bookmarkStart w:id="207" w:name="_Toc494665565"/>
      <w:bookmarkStart w:id="208" w:name="_Toc48230924"/>
      <w:bookmarkStart w:id="209" w:name="_Toc494745329"/>
      <w:bookmarkStart w:id="210" w:name="_Toc494702282"/>
      <w:r>
        <w:rPr>
          <w:rFonts w:hint="eastAsia" w:ascii="宋体" w:hAnsi="宋体" w:eastAsia="宋体"/>
        </w:rPr>
        <w:t>项目负责人、技术负责人简历表</w:t>
      </w:r>
      <w:bookmarkEnd w:id="204"/>
      <w:bookmarkEnd w:id="205"/>
      <w:bookmarkEnd w:id="206"/>
      <w:bookmarkEnd w:id="207"/>
      <w:bookmarkEnd w:id="208"/>
      <w:bookmarkEnd w:id="209"/>
      <w:bookmarkEnd w:id="21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kern w:val="0"/>
                <w:sz w:val="24"/>
                <w:szCs w:val="28"/>
              </w:rPr>
            </w:pPr>
            <w:r>
              <w:rPr>
                <w:rFonts w:hint="eastAsia" w:ascii="宋体" w:hAnsi="宋体" w:eastAsia="宋体" w:cs="Times New Roman"/>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kern w:val="0"/>
                <w:sz w:val="24"/>
                <w:szCs w:val="28"/>
              </w:rPr>
            </w:pPr>
            <w:r>
              <w:rPr>
                <w:rFonts w:hint="eastAsia" w:ascii="宋体" w:hAnsi="宋体" w:eastAsia="宋体" w:cs="Times New Roman"/>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r>
              <w:rPr>
                <w:rFonts w:hint="eastAsia" w:ascii="宋体" w:hAnsi="宋体" w:eastAsia="宋体" w:cs="Times New Roman"/>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参加工作</w:t>
            </w:r>
          </w:p>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kern w:val="0"/>
                <w:sz w:val="24"/>
                <w:szCs w:val="28"/>
              </w:rPr>
            </w:pPr>
            <w:r>
              <w:rPr>
                <w:rFonts w:hint="eastAsia" w:ascii="宋体" w:hAnsi="宋体" w:eastAsia="宋体" w:cs="Times New Roman"/>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r>
              <w:rPr>
                <w:rFonts w:hint="eastAsia" w:ascii="宋体" w:hAnsi="宋体" w:eastAsia="宋体" w:cs="Times New Roman"/>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kern w:val="0"/>
                <w:sz w:val="24"/>
                <w:szCs w:val="28"/>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610" w:hanging="1610"/>
        <w:rPr>
          <w:rFonts w:ascii="宋体" w:hAnsi="宋体" w:eastAsia="宋体"/>
        </w:rPr>
      </w:pPr>
      <w:bookmarkStart w:id="211" w:name="_Toc494721113"/>
      <w:bookmarkStart w:id="212" w:name="_Toc238276251"/>
      <w:bookmarkStart w:id="213" w:name="_Toc494665963"/>
      <w:bookmarkStart w:id="214" w:name="_Toc48230925"/>
      <w:bookmarkStart w:id="215" w:name="_Toc236473307"/>
      <w:bookmarkStart w:id="216" w:name="_Toc494702283"/>
      <w:bookmarkStart w:id="217" w:name="_Toc494745330"/>
      <w:bookmarkStart w:id="218" w:name="_Toc494665566"/>
      <w:bookmarkStart w:id="219" w:name="_Toc494665013"/>
      <w:r>
        <w:rPr>
          <w:rFonts w:hint="eastAsia" w:ascii="宋体" w:hAnsi="宋体" w:eastAsia="宋体"/>
        </w:rPr>
        <w:t>项目班子成员情况表</w:t>
      </w:r>
      <w:bookmarkEnd w:id="211"/>
      <w:bookmarkEnd w:id="212"/>
      <w:bookmarkEnd w:id="213"/>
      <w:bookmarkEnd w:id="214"/>
      <w:bookmarkEnd w:id="215"/>
      <w:bookmarkEnd w:id="216"/>
      <w:bookmarkEnd w:id="217"/>
      <w:bookmarkEnd w:id="218"/>
      <w:bookmarkEnd w:id="21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sz w:val="24"/>
                <w:szCs w:val="24"/>
              </w:rPr>
            </w:pPr>
            <w:r>
              <w:rPr>
                <w:rFonts w:hint="eastAsia" w:ascii="宋体" w:hAnsi="宋体" w:eastAsia="宋体" w:cs="Times New Roman"/>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sz w:val="24"/>
                <w:szCs w:val="24"/>
              </w:rPr>
            </w:pPr>
            <w:r>
              <w:rPr>
                <w:rFonts w:ascii="宋体" w:hAnsi="宋体" w:eastAsia="宋体" w:cs="Times New Roman"/>
                <w:b/>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sz w:val="24"/>
                <w:szCs w:val="24"/>
              </w:rPr>
            </w:pPr>
          </w:p>
        </w:tc>
      </w:tr>
    </w:tbl>
    <w:p>
      <w:pPr>
        <w:spacing w:line="360" w:lineRule="auto"/>
        <w:ind w:left="720" w:hanging="720" w:hangingChars="300"/>
        <w:jc w:val="left"/>
        <w:rPr>
          <w:rFonts w:ascii="宋体" w:hAnsi="宋体" w:eastAsia="宋体" w:cs="Times New Roman"/>
          <w:sz w:val="24"/>
          <w:szCs w:val="24"/>
          <w:lang w:val="zh-CN"/>
        </w:rPr>
      </w:pPr>
      <w:r>
        <w:rPr>
          <w:rFonts w:hint="eastAsia" w:ascii="宋体" w:hAnsi="宋体" w:eastAsia="宋体" w:cs="Times New Roman"/>
          <w:sz w:val="24"/>
          <w:szCs w:val="24"/>
          <w:lang w:val="zh-CN"/>
        </w:rPr>
        <w:t>说明：投标文件正本应附完整的相关证明材料清晰影印件，</w:t>
      </w:r>
      <w:r>
        <w:rPr>
          <w:rFonts w:hint="eastAsia" w:ascii="宋体" w:hAnsi="宋体" w:eastAsia="宋体" w:cs="Corbel"/>
          <w:sz w:val="24"/>
          <w:szCs w:val="21"/>
          <w:lang w:val="zh-CN"/>
        </w:rPr>
        <w:t>未按照要求详细完整填写此表，</w:t>
      </w:r>
      <w:r>
        <w:rPr>
          <w:rFonts w:hint="eastAsia" w:ascii="宋体" w:hAnsi="宋体" w:eastAsia="宋体" w:cs="Times New Roman"/>
          <w:sz w:val="24"/>
          <w:szCs w:val="21"/>
          <w:lang w:val="zh-CN"/>
        </w:rPr>
        <w:t>导致的后果由投标人自行承担。</w:t>
      </w: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line="360" w:lineRule="auto"/>
        <w:jc w:val="left"/>
        <w:rPr>
          <w:rFonts w:ascii="宋体" w:hAnsi="宋体" w:eastAsia="宋体" w:cs="Times New Roman"/>
          <w:sz w:val="24"/>
          <w:szCs w:val="24"/>
          <w:lang w:val="zh-CN"/>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610" w:hanging="1610"/>
        <w:rPr>
          <w:rFonts w:ascii="宋体" w:hAnsi="宋体" w:eastAsia="宋体"/>
        </w:rPr>
      </w:pPr>
      <w:bookmarkStart w:id="220" w:name="_Toc494665014"/>
      <w:bookmarkStart w:id="221" w:name="_Toc494665567"/>
      <w:bookmarkStart w:id="222" w:name="_Toc494665964"/>
      <w:bookmarkStart w:id="223" w:name="_Toc236473312"/>
      <w:bookmarkStart w:id="224" w:name="_Toc494721114"/>
      <w:bookmarkStart w:id="225" w:name="_Toc48230926"/>
      <w:bookmarkStart w:id="226" w:name="_Toc494702284"/>
      <w:bookmarkStart w:id="227" w:name="_Toc494745331"/>
      <w:bookmarkStart w:id="228" w:name="_Toc238276256"/>
      <w:r>
        <w:rPr>
          <w:rFonts w:hint="eastAsia" w:ascii="宋体" w:hAnsi="宋体" w:eastAsia="宋体"/>
        </w:rPr>
        <w:t>投标人类似项目业绩表</w:t>
      </w:r>
      <w:bookmarkEnd w:id="220"/>
      <w:bookmarkEnd w:id="221"/>
      <w:bookmarkEnd w:id="222"/>
      <w:bookmarkEnd w:id="223"/>
      <w:bookmarkEnd w:id="224"/>
      <w:bookmarkEnd w:id="225"/>
      <w:bookmarkEnd w:id="226"/>
      <w:bookmarkEnd w:id="227"/>
      <w:bookmarkEnd w:id="22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项目名称</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项目单位联系人姓名及联系方式</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项目金额</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项目负责人姓名</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项目时间</w:t>
            </w:r>
          </w:p>
        </w:tc>
        <w:tc>
          <w:tcPr>
            <w:tcW w:w="7200" w:type="dxa"/>
            <w:shd w:val="clear" w:color="auto" w:fill="auto"/>
          </w:tcPr>
          <w:p>
            <w:pPr>
              <w:rPr>
                <w:rFonts w:ascii="宋体" w:hAnsi="宋体" w:eastAsia="宋体"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sz w:val="24"/>
                <w:szCs w:val="24"/>
              </w:rPr>
            </w:pPr>
            <w:r>
              <w:rPr>
                <w:rFonts w:hint="eastAsia" w:ascii="宋体" w:hAnsi="宋体" w:eastAsia="宋体" w:cs="Courier New"/>
                <w:sz w:val="24"/>
                <w:szCs w:val="24"/>
              </w:rPr>
              <w:t>项目内容</w:t>
            </w:r>
          </w:p>
        </w:tc>
        <w:tc>
          <w:tcPr>
            <w:tcW w:w="7200" w:type="dxa"/>
            <w:shd w:val="clear" w:color="auto" w:fill="auto"/>
          </w:tcPr>
          <w:p>
            <w:pPr>
              <w:rPr>
                <w:rFonts w:ascii="宋体" w:hAnsi="宋体" w:eastAsia="宋体" w:cs="Courier New"/>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说明：1．每个合同应单独附表，并附上相关证明材料，</w:t>
      </w:r>
      <w:r>
        <w:rPr>
          <w:rFonts w:hint="eastAsia" w:ascii="宋体" w:hAnsi="宋体" w:eastAsia="宋体" w:cs="Corbel"/>
          <w:sz w:val="24"/>
          <w:szCs w:val="24"/>
        </w:rPr>
        <w:t>未按照要求详细完整填写此表，</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2．项目内容请详细说明所承担的具体工作内容等。</w:t>
      </w:r>
    </w:p>
    <w:p>
      <w:pPr>
        <w:spacing w:line="360" w:lineRule="auto"/>
        <w:ind w:firstLine="720" w:firstLineChars="300"/>
        <w:rPr>
          <w:rFonts w:ascii="宋体" w:hAnsi="宋体" w:eastAsia="宋体" w:cs="Times New Roman"/>
          <w:sz w:val="24"/>
          <w:szCs w:val="24"/>
        </w:rPr>
      </w:pPr>
    </w:p>
    <w:p>
      <w:pPr>
        <w:spacing w:line="360" w:lineRule="auto"/>
        <w:ind w:firstLine="720" w:firstLineChars="300"/>
        <w:rPr>
          <w:rFonts w:ascii="宋体" w:hAnsi="宋体" w:eastAsia="宋体" w:cs="Times New Roman"/>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610" w:hanging="1610"/>
        <w:rPr>
          <w:rFonts w:ascii="宋体" w:hAnsi="宋体" w:eastAsia="宋体"/>
        </w:rPr>
      </w:pPr>
      <w:bookmarkStart w:id="229" w:name="_Toc494721115"/>
      <w:bookmarkStart w:id="230" w:name="_Toc494665015"/>
      <w:bookmarkStart w:id="231" w:name="_Toc494702285"/>
      <w:bookmarkStart w:id="232" w:name="_Toc494665965"/>
      <w:bookmarkStart w:id="233" w:name="_Toc494745332"/>
      <w:bookmarkStart w:id="234" w:name="_Toc494665568"/>
      <w:bookmarkStart w:id="235" w:name="_Toc48230927"/>
      <w:r>
        <w:rPr>
          <w:rFonts w:hint="eastAsia" w:ascii="宋体" w:hAnsi="宋体" w:eastAsia="宋体"/>
        </w:rPr>
        <w:t>符合性审查对照表</w:t>
      </w:r>
      <w:bookmarkEnd w:id="229"/>
      <w:bookmarkEnd w:id="230"/>
      <w:bookmarkEnd w:id="231"/>
      <w:bookmarkEnd w:id="232"/>
      <w:bookmarkEnd w:id="233"/>
      <w:bookmarkEnd w:id="234"/>
      <w:bookmarkEnd w:id="235"/>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02"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2" w:type="dxa"/>
            <w:vAlign w:val="center"/>
          </w:tcPr>
          <w:p>
            <w:pPr>
              <w:jc w:val="center"/>
              <w:rPr>
                <w:rFonts w:ascii="宋体" w:hAnsi="宋体" w:eastAsia="宋体" w:cs="仿宋_GB2312"/>
                <w:sz w:val="24"/>
                <w:szCs w:val="24"/>
              </w:rPr>
            </w:pPr>
          </w:p>
        </w:tc>
        <w:tc>
          <w:tcPr>
            <w:tcW w:w="2754" w:type="dxa"/>
            <w:vAlign w:val="center"/>
          </w:tcPr>
          <w:p>
            <w:pPr>
              <w:jc w:val="center"/>
              <w:rPr>
                <w:rFonts w:ascii="宋体" w:hAnsi="宋体" w:eastAsia="宋体" w:cs="仿宋_GB2312"/>
                <w:sz w:val="24"/>
                <w:szCs w:val="24"/>
              </w:rPr>
            </w:pPr>
          </w:p>
        </w:tc>
        <w:tc>
          <w:tcPr>
            <w:tcW w:w="1363" w:type="dxa"/>
            <w:vAlign w:val="center"/>
          </w:tcPr>
          <w:p>
            <w:pPr>
              <w:jc w:val="center"/>
              <w:rPr>
                <w:rFonts w:ascii="宋体" w:hAnsi="宋体" w:eastAsia="宋体" w:cs="仿宋_GB2312"/>
                <w:sz w:val="24"/>
                <w:szCs w:val="24"/>
              </w:rPr>
            </w:pPr>
          </w:p>
        </w:tc>
        <w:tc>
          <w:tcPr>
            <w:tcW w:w="1602"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b/>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w:t>
      </w:r>
      <w:r>
        <w:rPr>
          <w:rFonts w:hint="eastAsia" w:ascii="宋体" w:hAnsi="宋体" w:eastAsia="宋体" w:cs="Times New Roman"/>
          <w:sz w:val="24"/>
          <w:szCs w:val="24"/>
        </w:rPr>
        <w:t>．</w:t>
      </w:r>
      <w:r>
        <w:rPr>
          <w:rFonts w:hint="eastAsia" w:ascii="宋体" w:hAnsi="宋体" w:eastAsia="宋体" w:cs="Corbel"/>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b/>
          <w:sz w:val="24"/>
          <w:szCs w:val="24"/>
        </w:rPr>
      </w:pPr>
      <w:r>
        <w:rPr>
          <w:rFonts w:hint="eastAsia" w:ascii="宋体" w:hAnsi="宋体" w:eastAsia="宋体" w:cs="Corbel"/>
          <w:sz w:val="24"/>
          <w:szCs w:val="24"/>
        </w:rPr>
        <w:t>2．</w:t>
      </w:r>
      <w:r>
        <w:rPr>
          <w:rFonts w:hint="eastAsia" w:ascii="宋体" w:hAnsi="宋体" w:eastAsia="宋体" w:cs="Times New Roman"/>
          <w:sz w:val="24"/>
          <w:szCs w:val="24"/>
        </w:rPr>
        <w:t>投标人</w:t>
      </w:r>
      <w:r>
        <w:rPr>
          <w:rFonts w:hint="eastAsia" w:ascii="宋体" w:hAnsi="宋体" w:eastAsia="宋体" w:cs="Corbel"/>
          <w:sz w:val="24"/>
          <w:szCs w:val="24"/>
        </w:rPr>
        <w:t>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610" w:hanging="1610"/>
        <w:rPr>
          <w:rFonts w:ascii="宋体" w:hAnsi="宋体" w:eastAsia="宋体"/>
        </w:rPr>
      </w:pPr>
      <w:bookmarkStart w:id="236" w:name="_Toc494745333"/>
      <w:bookmarkStart w:id="237" w:name="_Toc494721116"/>
      <w:bookmarkStart w:id="238" w:name="_Toc494665016"/>
      <w:bookmarkStart w:id="239" w:name="_Toc494665966"/>
      <w:bookmarkStart w:id="240" w:name="_Toc48230928"/>
      <w:bookmarkStart w:id="241" w:name="_Toc494702286"/>
      <w:bookmarkStart w:id="242" w:name="_Toc494665569"/>
      <w:r>
        <w:rPr>
          <w:rFonts w:hint="eastAsia" w:ascii="宋体" w:hAnsi="宋体" w:eastAsia="宋体"/>
        </w:rPr>
        <w:t>商务要求响应、偏离说明表</w:t>
      </w:r>
      <w:bookmarkEnd w:id="236"/>
      <w:bookmarkEnd w:id="237"/>
      <w:bookmarkEnd w:id="238"/>
      <w:bookmarkEnd w:id="239"/>
      <w:bookmarkEnd w:id="240"/>
      <w:bookmarkEnd w:id="241"/>
      <w:bookmarkEnd w:id="242"/>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Times New Roman"/>
          <w:sz w:val="24"/>
          <w:szCs w:val="24"/>
        </w:rPr>
        <w:t>说明</w:t>
      </w:r>
      <w:r>
        <w:rPr>
          <w:rFonts w:hint="eastAsia" w:ascii="宋体" w:hAnsi="宋体" w:eastAsia="宋体" w:cs="Corbel"/>
          <w:sz w:val="24"/>
          <w:szCs w:val="24"/>
        </w:rPr>
        <w:t>：1．投标人应按招标文件第三章“项目内容、服务及商务要求”中“商务要求”条款逐项说明是否满足要求，如有偏离,投标人应详细说明。未按照要求填写此表或仅注明“符合”、“满足”的，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Times New Roman"/>
          <w:sz w:val="24"/>
          <w:szCs w:val="24"/>
        </w:rPr>
      </w:pPr>
      <w:r>
        <w:rPr>
          <w:rFonts w:hint="eastAsia" w:ascii="宋体" w:hAnsi="宋体" w:eastAsia="宋体" w:cs="Corbel"/>
          <w:sz w:val="24"/>
          <w:szCs w:val="24"/>
        </w:rPr>
        <w:t>2．投标人</w:t>
      </w:r>
      <w:r>
        <w:rPr>
          <w:rFonts w:hint="eastAsia" w:ascii="宋体" w:hAnsi="宋体" w:eastAsia="宋体" w:cs="Times New Roman"/>
          <w:sz w:val="24"/>
          <w:szCs w:val="24"/>
        </w:rPr>
        <w:t>提供</w:t>
      </w:r>
      <w:r>
        <w:rPr>
          <w:rFonts w:hint="eastAsia" w:ascii="宋体" w:hAnsi="宋体" w:eastAsia="宋体" w:cs="Corbel"/>
          <w:sz w:val="24"/>
          <w:szCs w:val="24"/>
        </w:rPr>
        <w:t>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610" w:hanging="1610"/>
        <w:rPr>
          <w:rFonts w:ascii="宋体" w:hAnsi="宋体" w:eastAsia="宋体"/>
        </w:rPr>
      </w:pPr>
      <w:bookmarkStart w:id="243" w:name="_Toc48230929"/>
      <w:bookmarkStart w:id="244" w:name="_Toc494702287"/>
      <w:bookmarkStart w:id="245" w:name="_Toc494721117"/>
      <w:bookmarkStart w:id="246" w:name="_Toc494745334"/>
      <w:bookmarkStart w:id="247" w:name="_Toc494665017"/>
      <w:bookmarkStart w:id="248" w:name="_Toc494665570"/>
      <w:bookmarkStart w:id="249" w:name="_Toc494665967"/>
      <w:r>
        <w:rPr>
          <w:rFonts w:hint="eastAsia" w:ascii="宋体" w:hAnsi="宋体" w:eastAsia="宋体"/>
        </w:rPr>
        <w:t>商务要求“★”号条款响应、偏离说明表</w:t>
      </w:r>
      <w:bookmarkEnd w:id="243"/>
      <w:bookmarkEnd w:id="244"/>
      <w:bookmarkEnd w:id="245"/>
      <w:bookmarkEnd w:id="246"/>
      <w:bookmarkEnd w:id="247"/>
      <w:bookmarkEnd w:id="248"/>
      <w:bookmarkEnd w:id="249"/>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三章“项目内容、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610" w:hanging="1610"/>
        <w:rPr>
          <w:rFonts w:ascii="宋体" w:hAnsi="宋体" w:eastAsia="宋体"/>
        </w:rPr>
      </w:pPr>
      <w:bookmarkStart w:id="250" w:name="_Toc494665571"/>
      <w:bookmarkStart w:id="251" w:name="_Toc494665018"/>
      <w:bookmarkStart w:id="252" w:name="_Toc494745335"/>
      <w:bookmarkStart w:id="253" w:name="_Toc494702288"/>
      <w:bookmarkStart w:id="254" w:name="_Toc494665968"/>
      <w:bookmarkStart w:id="255" w:name="_Toc494721118"/>
      <w:bookmarkStart w:id="256" w:name="_Toc48230930"/>
      <w:r>
        <w:rPr>
          <w:rFonts w:hint="eastAsia" w:ascii="宋体" w:hAnsi="宋体" w:eastAsia="宋体"/>
        </w:rPr>
        <w:t>商务评议对照表</w:t>
      </w:r>
      <w:bookmarkEnd w:id="250"/>
      <w:bookmarkEnd w:id="251"/>
      <w:bookmarkEnd w:id="252"/>
      <w:bookmarkEnd w:id="253"/>
      <w:bookmarkEnd w:id="254"/>
      <w:bookmarkEnd w:id="255"/>
      <w:bookmarkEnd w:id="256"/>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8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8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8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8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8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89"/>
              </w:numPr>
              <w:jc w:val="center"/>
              <w:rPr>
                <w:rFonts w:ascii="宋体" w:hAnsi="宋体" w:eastAsia="宋体" w:cs="仿宋_GB2312"/>
                <w:sz w:val="24"/>
                <w:szCs w:val="24"/>
              </w:rPr>
            </w:pP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848" w:type="dxa"/>
            <w:vAlign w:val="center"/>
          </w:tcPr>
          <w:p>
            <w:pPr>
              <w:jc w:val="center"/>
              <w:rPr>
                <w:rFonts w:ascii="宋体" w:hAnsi="宋体" w:eastAsia="宋体" w:cs="仿宋_GB2312"/>
                <w:sz w:val="24"/>
                <w:szCs w:val="24"/>
              </w:rPr>
            </w:pPr>
          </w:p>
        </w:tc>
        <w:tc>
          <w:tcPr>
            <w:tcW w:w="2767"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610" w:hanging="1610"/>
        <w:rPr>
          <w:rFonts w:ascii="宋体" w:hAnsi="宋体" w:eastAsia="宋体"/>
        </w:rPr>
      </w:pPr>
      <w:bookmarkStart w:id="257" w:name="_Toc494665019"/>
      <w:bookmarkStart w:id="258" w:name="_Toc494721119"/>
      <w:bookmarkStart w:id="259" w:name="_Toc494665572"/>
      <w:bookmarkStart w:id="260" w:name="_Toc48230931"/>
      <w:bookmarkStart w:id="261" w:name="_Toc494665969"/>
      <w:bookmarkStart w:id="262" w:name="_Toc494745336"/>
      <w:bookmarkStart w:id="263" w:name="_Toc494702289"/>
      <w:r>
        <w:rPr>
          <w:rFonts w:hint="eastAsia" w:ascii="宋体" w:hAnsi="宋体" w:eastAsia="宋体"/>
        </w:rPr>
        <w:t>技术、服务要求响应、偏离说明表</w:t>
      </w:r>
      <w:bookmarkEnd w:id="257"/>
      <w:bookmarkEnd w:id="258"/>
      <w:bookmarkEnd w:id="259"/>
      <w:bookmarkEnd w:id="260"/>
      <w:bookmarkEnd w:id="261"/>
      <w:bookmarkEnd w:id="262"/>
      <w:bookmarkEnd w:id="263"/>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7</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3031" w:type="dxa"/>
            <w:vAlign w:val="center"/>
          </w:tcPr>
          <w:p>
            <w:pPr>
              <w:jc w:val="center"/>
              <w:rPr>
                <w:rFonts w:ascii="宋体" w:hAnsi="宋体" w:eastAsia="宋体" w:cs="仿宋_GB2312"/>
                <w:sz w:val="24"/>
                <w:szCs w:val="24"/>
              </w:rPr>
            </w:pPr>
          </w:p>
        </w:tc>
        <w:tc>
          <w:tcPr>
            <w:tcW w:w="2755" w:type="dxa"/>
            <w:vAlign w:val="center"/>
          </w:tcPr>
          <w:p>
            <w:pPr>
              <w:jc w:val="center"/>
              <w:rPr>
                <w:rFonts w:ascii="宋体" w:hAnsi="宋体" w:eastAsia="宋体" w:cs="仿宋_GB2312"/>
                <w:sz w:val="24"/>
                <w:szCs w:val="24"/>
              </w:rPr>
            </w:pPr>
          </w:p>
        </w:tc>
        <w:tc>
          <w:tcPr>
            <w:tcW w:w="1364"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Times New Roman"/>
          <w:sz w:val="24"/>
          <w:szCs w:val="24"/>
        </w:rPr>
      </w:pPr>
      <w:r>
        <w:rPr>
          <w:rFonts w:hint="eastAsia" w:ascii="宋体" w:hAnsi="宋体" w:eastAsia="宋体" w:cs="Corbel"/>
          <w:sz w:val="24"/>
          <w:szCs w:val="24"/>
        </w:rPr>
        <w:t>说明：1．投标人应按招标文件第三章“项目内容、服务及商务要求”中“技术、服务要求”条款逐项说明是否满足要求，如有偏离,投标人应详细说明。未按照要求填写此表或仅注明“符合”、“满足”的，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61" w:leftChars="339" w:hanging="350" w:hangingChars="146"/>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610" w:hanging="1610"/>
        <w:rPr>
          <w:rFonts w:ascii="宋体" w:hAnsi="宋体" w:eastAsia="宋体"/>
        </w:rPr>
      </w:pPr>
      <w:bookmarkStart w:id="264" w:name="_Toc494702290"/>
      <w:bookmarkStart w:id="265" w:name="_Toc494721120"/>
      <w:bookmarkStart w:id="266" w:name="_Toc494665573"/>
      <w:bookmarkStart w:id="267" w:name="_Toc494665020"/>
      <w:bookmarkStart w:id="268" w:name="_Toc48230932"/>
      <w:bookmarkStart w:id="269" w:name="_Toc494745337"/>
      <w:bookmarkStart w:id="270" w:name="_Toc494665970"/>
      <w:bookmarkStart w:id="271" w:name="_Toc329859066"/>
      <w:r>
        <w:rPr>
          <w:rFonts w:hint="eastAsia" w:ascii="宋体" w:hAnsi="宋体" w:eastAsia="宋体"/>
        </w:rPr>
        <w:t>技术、服务要求“★”号条款响应、偏离说明表</w:t>
      </w:r>
      <w:bookmarkEnd w:id="264"/>
      <w:bookmarkEnd w:id="265"/>
      <w:bookmarkEnd w:id="266"/>
      <w:bookmarkEnd w:id="267"/>
      <w:bookmarkEnd w:id="268"/>
      <w:bookmarkEnd w:id="269"/>
      <w:bookmarkEnd w:id="270"/>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w:t>
            </w:r>
            <w:r>
              <w:rPr>
                <w:rFonts w:hint="eastAsia" w:ascii="宋体" w:hAnsi="宋体" w:eastAsia="宋体" w:cs="Corbel"/>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619"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1</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2</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3</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4</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5</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6</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767" w:type="dxa"/>
            <w:vAlign w:val="center"/>
          </w:tcPr>
          <w:p>
            <w:pPr>
              <w:jc w:val="center"/>
              <w:rPr>
                <w:rFonts w:ascii="宋体" w:hAnsi="宋体" w:eastAsia="宋体" w:cs="仿宋_GB2312"/>
                <w:sz w:val="24"/>
                <w:szCs w:val="24"/>
              </w:rPr>
            </w:pPr>
          </w:p>
        </w:tc>
        <w:tc>
          <w:tcPr>
            <w:tcW w:w="2877" w:type="dxa"/>
            <w:vAlign w:val="center"/>
          </w:tcPr>
          <w:p>
            <w:pPr>
              <w:jc w:val="center"/>
              <w:rPr>
                <w:rFonts w:ascii="宋体" w:hAnsi="宋体" w:eastAsia="宋体" w:cs="仿宋_GB2312"/>
                <w:sz w:val="24"/>
                <w:szCs w:val="24"/>
              </w:rPr>
            </w:pPr>
          </w:p>
        </w:tc>
        <w:tc>
          <w:tcPr>
            <w:tcW w:w="1509" w:type="dxa"/>
            <w:vAlign w:val="center"/>
          </w:tcPr>
          <w:p>
            <w:pPr>
              <w:jc w:val="center"/>
              <w:rPr>
                <w:rFonts w:ascii="宋体" w:hAnsi="宋体" w:eastAsia="宋体" w:cs="仿宋_GB2312"/>
                <w:sz w:val="24"/>
                <w:szCs w:val="24"/>
              </w:rPr>
            </w:pPr>
          </w:p>
        </w:tc>
        <w:tc>
          <w:tcPr>
            <w:tcW w:w="1619" w:type="dxa"/>
            <w:vAlign w:val="center"/>
          </w:tcPr>
          <w:p>
            <w:pPr>
              <w:jc w:val="center"/>
              <w:rPr>
                <w:rFonts w:ascii="宋体" w:hAnsi="宋体" w:eastAsia="宋体" w:cs="仿宋_GB2312"/>
                <w:sz w:val="24"/>
                <w:szCs w:val="24"/>
              </w:rPr>
            </w:pPr>
          </w:p>
        </w:tc>
      </w:tr>
    </w:tbl>
    <w:p>
      <w:pPr>
        <w:spacing w:line="360" w:lineRule="auto"/>
        <w:ind w:left="936" w:hanging="936" w:hangingChars="390"/>
        <w:jc w:val="left"/>
        <w:rPr>
          <w:rFonts w:ascii="宋体" w:hAnsi="宋体" w:eastAsia="宋体" w:cs="Corbel"/>
          <w:sz w:val="24"/>
          <w:szCs w:val="24"/>
        </w:rPr>
      </w:pPr>
      <w:r>
        <w:rPr>
          <w:rFonts w:hint="eastAsia" w:ascii="宋体" w:hAnsi="宋体" w:eastAsia="宋体" w:cs="Corbel"/>
          <w:sz w:val="24"/>
          <w:szCs w:val="24"/>
        </w:rPr>
        <w:t>说明：1．投标人应按招标文件第三章“项目内容、服务及商务要求”中技术、服务要求</w:t>
      </w:r>
      <w:r>
        <w:rPr>
          <w:rFonts w:hint="eastAsia" w:ascii="Times New Roman" w:hAnsi="宋体" w:eastAsia="宋体" w:cs="Times New Roman"/>
          <w:sz w:val="24"/>
          <w:szCs w:val="24"/>
        </w:rPr>
        <w:t>“★”号</w:t>
      </w:r>
      <w:r>
        <w:rPr>
          <w:rFonts w:hint="eastAsia" w:ascii="宋体" w:hAnsi="宋体" w:eastAsia="宋体" w:cs="Corbel"/>
          <w:sz w:val="24"/>
          <w:szCs w:val="24"/>
        </w:rPr>
        <w:t>条款进行逐项说明是否满足要求，如有偏离,投标人应详细说明。未按照要求填写此表或仅注明“符合”、“满足”的，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bookmarkEnd w:id="271"/>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r>
        <w:br w:type="page"/>
      </w:r>
    </w:p>
    <w:p>
      <w:pPr>
        <w:pStyle w:val="3"/>
        <w:numPr>
          <w:ilvl w:val="0"/>
          <w:numId w:val="85"/>
        </w:numPr>
        <w:spacing w:before="100" w:beforeAutospacing="1" w:afterLines="50" w:line="360" w:lineRule="auto"/>
        <w:ind w:left="1610" w:hanging="1610"/>
        <w:rPr>
          <w:rFonts w:ascii="宋体" w:hAnsi="宋体" w:eastAsia="宋体"/>
        </w:rPr>
      </w:pPr>
      <w:bookmarkStart w:id="272" w:name="_Toc494702291"/>
      <w:bookmarkStart w:id="273" w:name="_Toc48230933"/>
      <w:bookmarkStart w:id="274" w:name="_Toc494665021"/>
      <w:bookmarkStart w:id="275" w:name="_Toc494721121"/>
      <w:bookmarkStart w:id="276" w:name="_Toc494665574"/>
      <w:bookmarkStart w:id="277" w:name="_Toc494665971"/>
      <w:bookmarkStart w:id="278" w:name="_Toc494745338"/>
      <w:r>
        <w:rPr>
          <w:rFonts w:hint="eastAsia" w:ascii="宋体" w:hAnsi="宋体" w:eastAsia="宋体"/>
        </w:rPr>
        <w:t>技术、服务评议对照表</w:t>
      </w:r>
      <w:bookmarkEnd w:id="272"/>
      <w:bookmarkEnd w:id="273"/>
      <w:bookmarkEnd w:id="274"/>
      <w:bookmarkEnd w:id="275"/>
      <w:bookmarkEnd w:id="276"/>
      <w:bookmarkEnd w:id="277"/>
      <w:bookmarkEnd w:id="278"/>
    </w:p>
    <w:p>
      <w:pPr>
        <w:spacing w:line="360" w:lineRule="auto"/>
        <w:jc w:val="left"/>
        <w:rPr>
          <w:rFonts w:hAnsi="宋体"/>
          <w:b/>
          <w:sz w:val="24"/>
        </w:rPr>
      </w:pPr>
      <w:r>
        <w:rPr>
          <w:rFonts w:hint="eastAsia" w:hAnsi="宋体"/>
          <w:b/>
          <w:sz w:val="24"/>
        </w:rPr>
        <w:t>投 标 人：</w:t>
      </w:r>
    </w:p>
    <w:p>
      <w:pPr>
        <w:spacing w:line="360" w:lineRule="auto"/>
        <w:jc w:val="left"/>
        <w:rPr>
          <w:rFonts w:hAnsi="宋体"/>
          <w:b/>
          <w:sz w:val="24"/>
        </w:rPr>
      </w:pPr>
      <w:r>
        <w:rPr>
          <w:rFonts w:hint="eastAsia" w:ascii="宋体" w:hAnsi="宋体" w:eastAsia="宋体" w:cs="Times New Roman"/>
          <w:b/>
          <w:sz w:val="24"/>
          <w:szCs w:val="21"/>
          <w:lang w:val="zh-CN"/>
        </w:rPr>
        <w:t>项目编号：</w:t>
      </w:r>
      <w:r>
        <w:rPr>
          <w:rFonts w:hint="eastAsia" w:ascii="宋体" w:hAnsi="宋体" w:eastAsia="宋体" w:cs="Times New Roman"/>
          <w:b/>
          <w:bCs/>
          <w:sz w:val="24"/>
          <w:szCs w:val="21"/>
          <w:lang w:val="zh-CN"/>
        </w:rPr>
        <w:t xml:space="preserve">                所投包号：</w:t>
      </w:r>
    </w:p>
    <w:tbl>
      <w:tblPr>
        <w:tblStyle w:val="16"/>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sz w:val="24"/>
                <w:szCs w:val="24"/>
              </w:rPr>
            </w:pPr>
            <w:r>
              <w:rPr>
                <w:rFonts w:hint="eastAsia" w:ascii="宋体" w:hAnsi="宋体" w:eastAsia="宋体" w:cs="仿宋_GB2312"/>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sz w:val="24"/>
                <w:szCs w:val="24"/>
              </w:rPr>
            </w:pPr>
            <w:r>
              <w:rPr>
                <w:rFonts w:hint="eastAsia" w:ascii="宋体" w:hAnsi="宋体" w:eastAsia="宋体" w:cs="仿宋_GB2312"/>
                <w:sz w:val="24"/>
                <w:szCs w:val="24"/>
              </w:rPr>
              <w:t>偏离说明</w:t>
            </w:r>
          </w:p>
        </w:tc>
        <w:tc>
          <w:tcPr>
            <w:tcW w:w="1983" w:type="dxa"/>
            <w:shd w:val="clear" w:color="auto" w:fill="F1F1F1" w:themeFill="background1" w:themeFillShade="F2"/>
          </w:tcPr>
          <w:p>
            <w:pPr>
              <w:jc w:val="center"/>
              <w:rPr>
                <w:rFonts w:ascii="宋体" w:hAnsi="宋体" w:eastAsia="宋体" w:cs="仿宋_GB2312"/>
                <w:sz w:val="24"/>
                <w:szCs w:val="24"/>
              </w:rPr>
            </w:pPr>
            <w:r>
              <w:rPr>
                <w:rFonts w:hint="eastAsia" w:ascii="宋体" w:hAnsi="宋体" w:eastAsia="宋体" w:cs="仿宋_GB2312"/>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90"/>
              </w:numPr>
              <w:jc w:val="center"/>
              <w:rPr>
                <w:rFonts w:ascii="宋体" w:hAnsi="宋体" w:eastAsia="宋体" w:cs="仿宋_GB2312"/>
                <w:sz w:val="24"/>
                <w:szCs w:val="24"/>
              </w:rPr>
            </w:pP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sz w:val="24"/>
                <w:szCs w:val="24"/>
              </w:rPr>
            </w:pPr>
            <w:r>
              <w:rPr>
                <w:rFonts w:hint="eastAsia" w:ascii="宋体" w:hAnsi="宋体" w:eastAsia="宋体" w:cs="仿宋_GB2312"/>
                <w:sz w:val="24"/>
                <w:szCs w:val="24"/>
              </w:rPr>
              <w:t>…</w:t>
            </w:r>
          </w:p>
        </w:tc>
        <w:tc>
          <w:tcPr>
            <w:tcW w:w="2389" w:type="dxa"/>
            <w:vAlign w:val="center"/>
          </w:tcPr>
          <w:p>
            <w:pPr>
              <w:jc w:val="center"/>
              <w:rPr>
                <w:rFonts w:ascii="宋体" w:hAnsi="宋体" w:eastAsia="宋体" w:cs="仿宋_GB2312"/>
                <w:sz w:val="24"/>
                <w:szCs w:val="24"/>
              </w:rPr>
            </w:pPr>
          </w:p>
        </w:tc>
        <w:tc>
          <w:tcPr>
            <w:tcW w:w="3227" w:type="dxa"/>
            <w:vAlign w:val="center"/>
          </w:tcPr>
          <w:p>
            <w:pPr>
              <w:jc w:val="center"/>
              <w:rPr>
                <w:rFonts w:ascii="宋体" w:hAnsi="宋体" w:eastAsia="宋体" w:cs="仿宋_GB2312"/>
                <w:sz w:val="24"/>
                <w:szCs w:val="24"/>
              </w:rPr>
            </w:pPr>
          </w:p>
        </w:tc>
        <w:tc>
          <w:tcPr>
            <w:tcW w:w="1256" w:type="dxa"/>
            <w:vAlign w:val="center"/>
          </w:tcPr>
          <w:p>
            <w:pPr>
              <w:jc w:val="center"/>
              <w:rPr>
                <w:rFonts w:ascii="宋体" w:hAnsi="宋体" w:eastAsia="宋体" w:cs="仿宋_GB2312"/>
                <w:sz w:val="24"/>
                <w:szCs w:val="24"/>
              </w:rPr>
            </w:pPr>
          </w:p>
        </w:tc>
        <w:tc>
          <w:tcPr>
            <w:tcW w:w="1983" w:type="dxa"/>
            <w:vAlign w:val="center"/>
          </w:tcPr>
          <w:p>
            <w:pPr>
              <w:jc w:val="center"/>
              <w:rPr>
                <w:rFonts w:ascii="宋体" w:hAnsi="宋体" w:eastAsia="宋体" w:cs="仿宋_GB2312"/>
                <w:sz w:val="24"/>
                <w:szCs w:val="24"/>
              </w:rPr>
            </w:pPr>
          </w:p>
        </w:tc>
      </w:tr>
    </w:tbl>
    <w:p>
      <w:pPr>
        <w:spacing w:line="360" w:lineRule="auto"/>
        <w:ind w:left="1092" w:hanging="1092" w:hangingChars="455"/>
        <w:jc w:val="left"/>
        <w:rPr>
          <w:rFonts w:ascii="宋体" w:hAnsi="宋体" w:eastAsia="宋体" w:cs="Corbel"/>
          <w:sz w:val="24"/>
          <w:szCs w:val="24"/>
        </w:rPr>
      </w:pPr>
      <w:r>
        <w:rPr>
          <w:rFonts w:hint="eastAsia" w:ascii="宋体" w:hAnsi="宋体" w:eastAsia="宋体" w:cs="Corbel"/>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sz w:val="24"/>
          <w:szCs w:val="24"/>
        </w:rPr>
        <w:t>导致的后果由投标人自行承担。</w:t>
      </w:r>
    </w:p>
    <w:p>
      <w:pPr>
        <w:spacing w:line="360" w:lineRule="auto"/>
        <w:ind w:left="1006" w:leftChars="306" w:hanging="364" w:hangingChars="152"/>
        <w:jc w:val="left"/>
        <w:rPr>
          <w:rFonts w:ascii="宋体" w:hAnsi="宋体" w:eastAsia="宋体" w:cs="Corbel"/>
          <w:sz w:val="24"/>
          <w:szCs w:val="24"/>
        </w:rPr>
      </w:pPr>
      <w:r>
        <w:rPr>
          <w:rFonts w:hint="eastAsia" w:ascii="宋体" w:hAnsi="宋体" w:eastAsia="宋体" w:cs="Corbel"/>
          <w:sz w:val="24"/>
          <w:szCs w:val="24"/>
        </w:rPr>
        <w:t>2．投标人提供的相关证明文件对应的页码填写到上表“投标文件对应的页码”中。如未提供页码或内容页码完全不一致的，</w:t>
      </w:r>
      <w:r>
        <w:rPr>
          <w:rFonts w:hint="eastAsia" w:ascii="宋体" w:hAnsi="宋体" w:eastAsia="宋体" w:cs="Times New Roman"/>
          <w:sz w:val="24"/>
          <w:szCs w:val="24"/>
        </w:rPr>
        <w:t>导致的后果由投标人自行承担。</w:t>
      </w:r>
    </w:p>
    <w:p>
      <w:pPr>
        <w:adjustRightInd w:val="0"/>
        <w:snapToGrid w:val="0"/>
        <w:spacing w:line="300" w:lineRule="auto"/>
        <w:ind w:left="720" w:hanging="720" w:hangingChars="300"/>
        <w:rPr>
          <w:rFonts w:ascii="宋体" w:hAnsi="宋体" w:eastAsia="宋体" w:cs="Corbel"/>
          <w:sz w:val="24"/>
          <w:szCs w:val="24"/>
        </w:rPr>
      </w:pPr>
    </w:p>
    <w:p>
      <w:pPr>
        <w:spacing w:before="100" w:beforeAutospacing="1" w:after="100" w:afterAutospacing="1" w:line="360" w:lineRule="auto"/>
        <w:ind w:firstLine="3316" w:firstLineChars="1382"/>
        <w:rPr>
          <w:rFonts w:hAnsi="宋体"/>
          <w:b/>
          <w:bCs/>
          <w:sz w:val="24"/>
          <w:u w:val="single"/>
        </w:rPr>
      </w:pPr>
      <w:r>
        <w:rPr>
          <w:rFonts w:hint="eastAsia" w:hAnsi="宋体"/>
          <w:b/>
          <w:bCs/>
          <w:sz w:val="24"/>
        </w:rPr>
        <w:t>投标人（公章）：</w:t>
      </w:r>
    </w:p>
    <w:p>
      <w:pPr>
        <w:spacing w:before="100" w:beforeAutospacing="1" w:after="100" w:afterAutospacing="1" w:line="360" w:lineRule="auto"/>
        <w:ind w:firstLine="3316" w:firstLineChars="1382"/>
        <w:rPr>
          <w:rFonts w:hAnsi="宋体"/>
          <w:b/>
          <w:bCs/>
          <w:sz w:val="24"/>
          <w:u w:val="single"/>
        </w:rPr>
      </w:pPr>
      <w:r>
        <w:rPr>
          <w:rFonts w:hint="eastAsia" w:ascii="宋体" w:hAnsi="宋体" w:eastAsia="宋体" w:cs="Times New Roman"/>
          <w:b/>
          <w:bCs/>
          <w:sz w:val="24"/>
          <w:szCs w:val="21"/>
          <w:lang w:val="zh-CN"/>
        </w:rPr>
        <w:t>投标人</w:t>
      </w:r>
      <w:r>
        <w:rPr>
          <w:rFonts w:hint="eastAsia" w:hAnsi="宋体"/>
          <w:b/>
          <w:bCs/>
          <w:sz w:val="24"/>
        </w:rPr>
        <w:t>授权代表（签字）：</w:t>
      </w:r>
    </w:p>
    <w:p>
      <w:pPr>
        <w:spacing w:before="100" w:beforeAutospacing="1" w:after="100" w:afterAutospacing="1" w:line="360" w:lineRule="auto"/>
        <w:ind w:firstLine="3316" w:firstLineChars="1382"/>
      </w:pPr>
      <w:r>
        <w:rPr>
          <w:rFonts w:hint="eastAsia" w:ascii="宋体" w:hAnsi="宋体" w:eastAsia="宋体" w:cs="Times New Roman"/>
          <w:b/>
          <w:bCs/>
          <w:sz w:val="24"/>
          <w:szCs w:val="21"/>
          <w:lang w:val="zh-CN"/>
        </w:rPr>
        <w:t>投标</w:t>
      </w:r>
      <w:r>
        <w:rPr>
          <w:rFonts w:hint="eastAsia" w:hAnsi="宋体"/>
          <w:b/>
          <w:bCs/>
          <w:sz w:val="24"/>
        </w:rPr>
        <w:t>时间：</w:t>
      </w:r>
    </w:p>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Corbel">
    <w:panose1 w:val="020B0503020204020204"/>
    <w:charset w:val="00"/>
    <w:family w:val="swiss"/>
    <w:pitch w:val="default"/>
    <w:sig w:usb0="A00002EF" w:usb1="4000A44B" w:usb2="00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0"/>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62</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000000" w:themeColor="text1" w:sz="4" w:space="1"/>
      </w:pBdr>
      <w:tabs>
        <w:tab w:val="clear" w:pos="4153"/>
        <w:tab w:val="clear" w:pos="8306"/>
      </w:tabs>
      <w:ind w:right="-9" w:firstLine="360" w:firstLineChars="200"/>
      <w:jc w:val="both"/>
    </w:pPr>
    <w:r>
      <w:rPr>
        <w:rFonts w:hint="eastAsia" w:asciiTheme="minorEastAsia" w:hAnsiTheme="minorEastAsia"/>
      </w:rPr>
      <w:t xml:space="preserve">                                                                    武汉富纳工程咨询有限公司制</w:t>
    </w:r>
  </w:p>
  <w:p>
    <w:pPr>
      <w:pStyle w:val="10"/>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27</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Pr>
    <w:r>
      <w:rPr>
        <w:rFonts w:hint="eastAsia"/>
        <w:b/>
        <w:sz w:val="18"/>
        <w:szCs w:val="18"/>
      </w:rPr>
      <w:t>项目名称</w:t>
    </w:r>
    <w:r>
      <w:rPr>
        <w:rFonts w:hint="eastAsia" w:asciiTheme="minorEastAsia" w:hAnsiTheme="minorEastAsia"/>
        <w:b/>
        <w:sz w:val="18"/>
        <w:szCs w:val="18"/>
      </w:rPr>
      <w:t>：</w:t>
    </w:r>
    <w:r>
      <w:rPr>
        <w:rFonts w:hint="eastAsia"/>
        <w:b/>
        <w:sz w:val="18"/>
        <w:szCs w:val="18"/>
      </w:rPr>
      <w:t>湖北阳新经济开发区总体规划（2019-2030年）（调整）环评项目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CE5F0"/>
    <w:multiLevelType w:val="singleLevel"/>
    <w:tmpl w:val="846CE5F0"/>
    <w:lvl w:ilvl="0" w:tentative="0">
      <w:start w:val="2"/>
      <w:numFmt w:val="decimal"/>
      <w:lvlText w:val="%1.2"/>
      <w:lvlJc w:val="left"/>
      <w:pPr>
        <w:tabs>
          <w:tab w:val="left" w:pos="420"/>
        </w:tabs>
        <w:ind w:left="425" w:hanging="425"/>
      </w:pPr>
      <w:rPr>
        <w:rFonts w:hint="default"/>
      </w:rPr>
    </w:lvl>
  </w:abstractNum>
  <w:abstractNum w:abstractNumId="1">
    <w:nsid w:val="857573A0"/>
    <w:multiLevelType w:val="singleLevel"/>
    <w:tmpl w:val="857573A0"/>
    <w:lvl w:ilvl="0" w:tentative="0">
      <w:start w:val="1"/>
      <w:numFmt w:val="decimal"/>
      <w:lvlText w:val="%1."/>
      <w:lvlJc w:val="left"/>
      <w:pPr>
        <w:tabs>
          <w:tab w:val="left" w:pos="312"/>
        </w:tabs>
      </w:pPr>
    </w:lvl>
  </w:abstractNum>
  <w:abstractNum w:abstractNumId="2">
    <w:nsid w:val="8B092ACC"/>
    <w:multiLevelType w:val="singleLevel"/>
    <w:tmpl w:val="8B092ACC"/>
    <w:lvl w:ilvl="0" w:tentative="0">
      <w:start w:val="2"/>
      <w:numFmt w:val="decimal"/>
      <w:lvlText w:val="%1.1"/>
      <w:lvlJc w:val="left"/>
      <w:pPr>
        <w:tabs>
          <w:tab w:val="left" w:pos="420"/>
        </w:tabs>
        <w:ind w:left="425" w:leftChars="0" w:hanging="425" w:firstLineChars="0"/>
      </w:pPr>
      <w:rPr>
        <w:rFonts w:hint="default"/>
      </w:rPr>
    </w:lvl>
  </w:abstractNum>
  <w:abstractNum w:abstractNumId="3">
    <w:nsid w:val="90611913"/>
    <w:multiLevelType w:val="singleLevel"/>
    <w:tmpl w:val="90611913"/>
    <w:lvl w:ilvl="0" w:tentative="0">
      <w:start w:val="1"/>
      <w:numFmt w:val="decimal"/>
      <w:lvlText w:val="%1.1.3"/>
      <w:lvlJc w:val="left"/>
      <w:pPr>
        <w:tabs>
          <w:tab w:val="left" w:pos="420"/>
        </w:tabs>
        <w:ind w:left="425" w:hanging="425"/>
      </w:pPr>
      <w:rPr>
        <w:rFonts w:hint="default"/>
      </w:rPr>
    </w:lvl>
  </w:abstractNum>
  <w:abstractNum w:abstractNumId="4">
    <w:nsid w:val="9BB707B7"/>
    <w:multiLevelType w:val="singleLevel"/>
    <w:tmpl w:val="9BB707B7"/>
    <w:lvl w:ilvl="0" w:tentative="0">
      <w:start w:val="2"/>
      <w:numFmt w:val="decimal"/>
      <w:lvlText w:val="%1.3"/>
      <w:lvlJc w:val="left"/>
      <w:pPr>
        <w:tabs>
          <w:tab w:val="left" w:pos="420"/>
        </w:tabs>
        <w:ind w:left="425" w:hanging="425"/>
      </w:pPr>
      <w:rPr>
        <w:rFonts w:hint="default"/>
      </w:rPr>
    </w:lvl>
  </w:abstractNum>
  <w:abstractNum w:abstractNumId="5">
    <w:nsid w:val="9D1DA7A4"/>
    <w:multiLevelType w:val="singleLevel"/>
    <w:tmpl w:val="9D1DA7A4"/>
    <w:lvl w:ilvl="0" w:tentative="0">
      <w:start w:val="2"/>
      <w:numFmt w:val="decimal"/>
      <w:lvlText w:val="%1.3"/>
      <w:lvlJc w:val="left"/>
      <w:pPr>
        <w:tabs>
          <w:tab w:val="left" w:pos="420"/>
        </w:tabs>
        <w:ind w:left="425" w:leftChars="0" w:hanging="425" w:firstLineChars="0"/>
      </w:pPr>
      <w:rPr>
        <w:rFonts w:hint="default"/>
      </w:rPr>
    </w:lvl>
  </w:abstractNum>
  <w:abstractNum w:abstractNumId="6">
    <w:nsid w:val="C32E45D8"/>
    <w:multiLevelType w:val="singleLevel"/>
    <w:tmpl w:val="C32E45D8"/>
    <w:lvl w:ilvl="0" w:tentative="0">
      <w:start w:val="1"/>
      <w:numFmt w:val="decimal"/>
      <w:lvlText w:val="%1.1"/>
      <w:lvlJc w:val="left"/>
      <w:pPr>
        <w:tabs>
          <w:tab w:val="left" w:pos="420"/>
        </w:tabs>
        <w:ind w:left="425" w:hanging="425"/>
      </w:pPr>
      <w:rPr>
        <w:rFonts w:hint="default"/>
      </w:rPr>
    </w:lvl>
  </w:abstractNum>
  <w:abstractNum w:abstractNumId="7">
    <w:nsid w:val="CA3A130C"/>
    <w:multiLevelType w:val="singleLevel"/>
    <w:tmpl w:val="CA3A130C"/>
    <w:lvl w:ilvl="0" w:tentative="0">
      <w:start w:val="1"/>
      <w:numFmt w:val="decimal"/>
      <w:lvlText w:val="%1."/>
      <w:lvlJc w:val="left"/>
      <w:pPr>
        <w:tabs>
          <w:tab w:val="left" w:pos="420"/>
        </w:tabs>
        <w:ind w:left="425" w:hanging="425"/>
      </w:pPr>
      <w:rPr>
        <w:rFonts w:hint="default"/>
      </w:rPr>
    </w:lvl>
  </w:abstractNum>
  <w:abstractNum w:abstractNumId="8">
    <w:nsid w:val="E4B96D82"/>
    <w:multiLevelType w:val="singleLevel"/>
    <w:tmpl w:val="E4B96D82"/>
    <w:lvl w:ilvl="0" w:tentative="0">
      <w:start w:val="1"/>
      <w:numFmt w:val="decimal"/>
      <w:lvlText w:val="%1."/>
      <w:lvlJc w:val="left"/>
      <w:pPr>
        <w:tabs>
          <w:tab w:val="left" w:pos="312"/>
        </w:tabs>
      </w:pPr>
    </w:lvl>
  </w:abstractNum>
  <w:abstractNum w:abstractNumId="9">
    <w:nsid w:val="E6DA2F96"/>
    <w:multiLevelType w:val="singleLevel"/>
    <w:tmpl w:val="E6DA2F96"/>
    <w:lvl w:ilvl="0" w:tentative="0">
      <w:start w:val="3"/>
      <w:numFmt w:val="decimal"/>
      <w:lvlText w:val="%1.1"/>
      <w:lvlJc w:val="left"/>
      <w:pPr>
        <w:tabs>
          <w:tab w:val="left" w:pos="420"/>
        </w:tabs>
        <w:ind w:left="425" w:hanging="425"/>
      </w:pPr>
      <w:rPr>
        <w:rFonts w:hint="default"/>
      </w:rPr>
    </w:lvl>
  </w:abstractNum>
  <w:abstractNum w:abstractNumId="10">
    <w:nsid w:val="F4350EC5"/>
    <w:multiLevelType w:val="singleLevel"/>
    <w:tmpl w:val="F4350EC5"/>
    <w:lvl w:ilvl="0" w:tentative="0">
      <w:start w:val="4"/>
      <w:numFmt w:val="decimal"/>
      <w:lvlText w:val="%1."/>
      <w:lvlJc w:val="left"/>
      <w:pPr>
        <w:tabs>
          <w:tab w:val="left" w:pos="420"/>
        </w:tabs>
        <w:ind w:left="425" w:hanging="425"/>
      </w:pPr>
      <w:rPr>
        <w:rFonts w:hint="default"/>
      </w:rPr>
    </w:lvl>
  </w:abstractNum>
  <w:abstractNum w:abstractNumId="11">
    <w:nsid w:val="F8EF917A"/>
    <w:multiLevelType w:val="singleLevel"/>
    <w:tmpl w:val="F8EF917A"/>
    <w:lvl w:ilvl="0" w:tentative="0">
      <w:start w:val="1"/>
      <w:numFmt w:val="decimal"/>
      <w:lvlText w:val="%1."/>
      <w:lvlJc w:val="left"/>
      <w:pPr>
        <w:tabs>
          <w:tab w:val="left" w:pos="312"/>
        </w:tabs>
      </w:pPr>
    </w:lvl>
  </w:abstractNum>
  <w:abstractNum w:abstractNumId="12">
    <w:nsid w:val="00138F4F"/>
    <w:multiLevelType w:val="singleLevel"/>
    <w:tmpl w:val="00138F4F"/>
    <w:lvl w:ilvl="0" w:tentative="0">
      <w:start w:val="2"/>
      <w:numFmt w:val="decimal"/>
      <w:lvlText w:val="%1.1"/>
      <w:lvlJc w:val="left"/>
      <w:pPr>
        <w:tabs>
          <w:tab w:val="left" w:pos="420"/>
        </w:tabs>
        <w:ind w:left="425" w:hanging="425"/>
      </w:pPr>
      <w:rPr>
        <w:rFonts w:hint="default"/>
      </w:rPr>
    </w:lvl>
  </w:abstractNum>
  <w:abstractNum w:abstractNumId="13">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4">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5A752EC"/>
    <w:multiLevelType w:val="singleLevel"/>
    <w:tmpl w:val="05A752EC"/>
    <w:lvl w:ilvl="0" w:tentative="0">
      <w:start w:val="2"/>
      <w:numFmt w:val="decimal"/>
      <w:lvlText w:val="%1.2"/>
      <w:lvlJc w:val="left"/>
      <w:pPr>
        <w:tabs>
          <w:tab w:val="left" w:pos="420"/>
        </w:tabs>
        <w:ind w:left="425" w:leftChars="0" w:hanging="425" w:firstLineChars="0"/>
      </w:pPr>
      <w:rPr>
        <w:rFonts w:hint="default"/>
      </w:rPr>
    </w:lvl>
  </w:abstractNum>
  <w:abstractNum w:abstractNumId="18">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9">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0F196355"/>
    <w:multiLevelType w:val="multilevel"/>
    <w:tmpl w:val="0F196355"/>
    <w:lvl w:ilvl="0" w:tentative="0">
      <w:start w:val="1"/>
      <w:numFmt w:val="decimal"/>
      <w:lvlText w:val="15.%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23">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6">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7">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6F33318"/>
    <w:multiLevelType w:val="singleLevel"/>
    <w:tmpl w:val="16F33318"/>
    <w:lvl w:ilvl="0" w:tentative="0">
      <w:start w:val="1"/>
      <w:numFmt w:val="decimal"/>
      <w:lvlText w:val="%1.1.2"/>
      <w:lvlJc w:val="left"/>
      <w:pPr>
        <w:tabs>
          <w:tab w:val="left" w:pos="420"/>
        </w:tabs>
        <w:ind w:left="425" w:hanging="425"/>
      </w:pPr>
      <w:rPr>
        <w:rFonts w:hint="default"/>
      </w:rPr>
    </w:lvl>
  </w:abstractNum>
  <w:abstractNum w:abstractNumId="30">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31">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2">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3">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4">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6">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40">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4">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336853BA"/>
    <w:multiLevelType w:val="multilevel"/>
    <w:tmpl w:val="336853BA"/>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34F85379"/>
    <w:multiLevelType w:val="singleLevel"/>
    <w:tmpl w:val="34F85379"/>
    <w:lvl w:ilvl="0" w:tentative="0">
      <w:start w:val="3"/>
      <w:numFmt w:val="decimal"/>
      <w:lvlText w:val="%1."/>
      <w:lvlJc w:val="left"/>
      <w:pPr>
        <w:tabs>
          <w:tab w:val="left" w:pos="420"/>
        </w:tabs>
        <w:ind w:left="425" w:hanging="425"/>
      </w:pPr>
      <w:rPr>
        <w:rFonts w:hint="default"/>
      </w:rPr>
    </w:lvl>
  </w:abstractNum>
  <w:abstractNum w:abstractNumId="47">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2">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53">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54">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47A61ABE"/>
    <w:multiLevelType w:val="singleLevel"/>
    <w:tmpl w:val="47A61ABE"/>
    <w:lvl w:ilvl="0" w:tentative="0">
      <w:start w:val="1"/>
      <w:numFmt w:val="decimal"/>
      <w:lvlText w:val="%1."/>
      <w:lvlJc w:val="left"/>
      <w:pPr>
        <w:tabs>
          <w:tab w:val="left" w:pos="312"/>
        </w:tabs>
      </w:pPr>
    </w:lvl>
  </w:abstractNum>
  <w:abstractNum w:abstractNumId="57">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58">
    <w:nsid w:val="4E1D4B2A"/>
    <w:multiLevelType w:val="singleLevel"/>
    <w:tmpl w:val="4E1D4B2A"/>
    <w:lvl w:ilvl="0" w:tentative="0">
      <w:start w:val="2"/>
      <w:numFmt w:val="decimal"/>
      <w:lvlText w:val="%1.4"/>
      <w:lvlJc w:val="left"/>
      <w:pPr>
        <w:tabs>
          <w:tab w:val="left" w:pos="420"/>
        </w:tabs>
        <w:ind w:left="425" w:hanging="425"/>
      </w:pPr>
      <w:rPr>
        <w:rFonts w:hint="default"/>
      </w:rPr>
    </w:lvl>
  </w:abstractNum>
  <w:abstractNum w:abstractNumId="59">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1">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56886DD6"/>
    <w:multiLevelType w:val="multilevel"/>
    <w:tmpl w:val="56886DD6"/>
    <w:lvl w:ilvl="0" w:tentative="0">
      <w:start w:val="1"/>
      <w:numFmt w:val="chineseCountingThousand"/>
      <w:lvlText w:val="%1、"/>
      <w:lvlJc w:val="left"/>
      <w:pPr>
        <w:ind w:left="420" w:hanging="420"/>
      </w:pPr>
      <w:rPr>
        <w:rFonts w:hint="default" w:ascii="黑体" w:hAnsi="黑体" w:eastAsia="黑体"/>
        <w:b/>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589C2C0F"/>
    <w:multiLevelType w:val="multilevel"/>
    <w:tmpl w:val="589C2C0F"/>
    <w:lvl w:ilvl="0" w:tentative="0">
      <w:start w:val="1"/>
      <w:numFmt w:val="decimal"/>
      <w:lvlText w:val="1.%1"/>
      <w:lvlJc w:val="left"/>
      <w:pPr>
        <w:ind w:left="372" w:hanging="420"/>
      </w:pPr>
      <w:rPr>
        <w:rFonts w:hint="default" w:ascii="宋体" w:hAnsi="宋体" w:eastAsia="宋体"/>
        <w:b/>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6">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7">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8">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9">
    <w:nsid w:val="5A6211C8"/>
    <w:multiLevelType w:val="singleLevel"/>
    <w:tmpl w:val="5A6211C8"/>
    <w:lvl w:ilvl="0" w:tentative="0">
      <w:start w:val="1"/>
      <w:numFmt w:val="decimal"/>
      <w:lvlText w:val="%1.1.1"/>
      <w:lvlJc w:val="left"/>
      <w:pPr>
        <w:tabs>
          <w:tab w:val="left" w:pos="420"/>
        </w:tabs>
        <w:ind w:left="425" w:hanging="425"/>
      </w:pPr>
      <w:rPr>
        <w:rFonts w:hint="default"/>
      </w:rPr>
    </w:lvl>
  </w:abstractNum>
  <w:abstractNum w:abstractNumId="70">
    <w:nsid w:val="5E6FE513"/>
    <w:multiLevelType w:val="singleLevel"/>
    <w:tmpl w:val="5E6FE513"/>
    <w:lvl w:ilvl="0" w:tentative="0">
      <w:start w:val="1"/>
      <w:numFmt w:val="decimal"/>
      <w:suff w:val="nothing"/>
      <w:lvlText w:val="%1、"/>
      <w:lvlJc w:val="left"/>
    </w:lvl>
  </w:abstractNum>
  <w:abstractNum w:abstractNumId="71">
    <w:nsid w:val="5F504802"/>
    <w:multiLevelType w:val="multilevel"/>
    <w:tmpl w:val="5F504802"/>
    <w:lvl w:ilvl="0" w:tentative="0">
      <w:start w:val="1"/>
      <w:numFmt w:val="decimal"/>
      <w:lvlText w:val="20.1.%1 "/>
      <w:lvlJc w:val="left"/>
      <w:pPr>
        <w:ind w:left="562" w:hanging="420"/>
      </w:pPr>
      <w:rPr>
        <w:rFonts w:hint="eastAsia" w:ascii="楷体" w:hAnsi="楷体" w:eastAsia="楷体"/>
        <w:b w:val="0"/>
        <w:strike w:val="0"/>
        <w:dstrike w:val="0"/>
        <w:color w:val="auto"/>
        <w:u w:val="none"/>
      </w:rPr>
    </w:lvl>
    <w:lvl w:ilvl="1" w:tentative="0">
      <w:start w:val="1"/>
      <w:numFmt w:val="lowerLetter"/>
      <w:lvlText w:val="%2)"/>
      <w:lvlJc w:val="left"/>
      <w:pPr>
        <w:ind w:left="779" w:hanging="420"/>
      </w:pPr>
    </w:lvl>
    <w:lvl w:ilvl="2" w:tentative="0">
      <w:start w:val="1"/>
      <w:numFmt w:val="lowerRoman"/>
      <w:lvlText w:val="%3."/>
      <w:lvlJc w:val="right"/>
      <w:pPr>
        <w:ind w:left="1199" w:hanging="420"/>
      </w:pPr>
    </w:lvl>
    <w:lvl w:ilvl="3" w:tentative="0">
      <w:start w:val="1"/>
      <w:numFmt w:val="decimal"/>
      <w:lvlText w:val="%4."/>
      <w:lvlJc w:val="left"/>
      <w:pPr>
        <w:ind w:left="1619" w:hanging="420"/>
      </w:pPr>
    </w:lvl>
    <w:lvl w:ilvl="4" w:tentative="0">
      <w:start w:val="1"/>
      <w:numFmt w:val="lowerLetter"/>
      <w:lvlText w:val="%5)"/>
      <w:lvlJc w:val="left"/>
      <w:pPr>
        <w:ind w:left="2039" w:hanging="420"/>
      </w:pPr>
    </w:lvl>
    <w:lvl w:ilvl="5" w:tentative="0">
      <w:start w:val="1"/>
      <w:numFmt w:val="lowerRoman"/>
      <w:lvlText w:val="%6."/>
      <w:lvlJc w:val="right"/>
      <w:pPr>
        <w:ind w:left="2459" w:hanging="420"/>
      </w:pPr>
    </w:lvl>
    <w:lvl w:ilvl="6" w:tentative="0">
      <w:start w:val="1"/>
      <w:numFmt w:val="decimal"/>
      <w:lvlText w:val="%7."/>
      <w:lvlJc w:val="left"/>
      <w:pPr>
        <w:ind w:left="2879" w:hanging="420"/>
      </w:pPr>
    </w:lvl>
    <w:lvl w:ilvl="7" w:tentative="0">
      <w:start w:val="1"/>
      <w:numFmt w:val="lowerLetter"/>
      <w:lvlText w:val="%8)"/>
      <w:lvlJc w:val="left"/>
      <w:pPr>
        <w:ind w:left="3299" w:hanging="420"/>
      </w:pPr>
    </w:lvl>
    <w:lvl w:ilvl="8" w:tentative="0">
      <w:start w:val="1"/>
      <w:numFmt w:val="lowerRoman"/>
      <w:lvlText w:val="%9."/>
      <w:lvlJc w:val="right"/>
      <w:pPr>
        <w:ind w:left="3719" w:hanging="420"/>
      </w:pPr>
    </w:lvl>
  </w:abstractNum>
  <w:abstractNum w:abstractNumId="72">
    <w:nsid w:val="5FE4BBBC"/>
    <w:multiLevelType w:val="singleLevel"/>
    <w:tmpl w:val="5FE4BBBC"/>
    <w:lvl w:ilvl="0" w:tentative="0">
      <w:start w:val="4"/>
      <w:numFmt w:val="decimal"/>
      <w:lvlText w:val="%1.1"/>
      <w:lvlJc w:val="left"/>
      <w:pPr>
        <w:tabs>
          <w:tab w:val="left" w:pos="420"/>
        </w:tabs>
        <w:ind w:left="425" w:leftChars="0" w:hanging="425" w:firstLineChars="0"/>
      </w:pPr>
      <w:rPr>
        <w:rFonts w:hint="default"/>
      </w:rPr>
    </w:lvl>
  </w:abstractNum>
  <w:abstractNum w:abstractNumId="73">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75">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79">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82">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83">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86">
    <w:nsid w:val="79EF0FF0"/>
    <w:multiLevelType w:val="singleLevel"/>
    <w:tmpl w:val="79EF0FF0"/>
    <w:lvl w:ilvl="0" w:tentative="0">
      <w:start w:val="1"/>
      <w:numFmt w:val="decimal"/>
      <w:lvlText w:val="%1."/>
      <w:lvlJc w:val="left"/>
      <w:pPr>
        <w:tabs>
          <w:tab w:val="left" w:pos="312"/>
        </w:tabs>
      </w:pPr>
    </w:lvl>
  </w:abstractNum>
  <w:abstractNum w:abstractNumId="87">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7C5C1B4C"/>
    <w:multiLevelType w:val="singleLevel"/>
    <w:tmpl w:val="7C5C1B4C"/>
    <w:lvl w:ilvl="0" w:tentative="0">
      <w:start w:val="3"/>
      <w:numFmt w:val="decimal"/>
      <w:lvlText w:val="%1.2"/>
      <w:lvlJc w:val="left"/>
      <w:pPr>
        <w:tabs>
          <w:tab w:val="left" w:pos="420"/>
        </w:tabs>
        <w:ind w:left="425" w:hanging="425"/>
      </w:pPr>
      <w:rPr>
        <w:rFonts w:hint="default"/>
      </w:rPr>
    </w:lvl>
  </w:abstractNum>
  <w:abstractNum w:abstractNumId="89">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59"/>
  </w:num>
  <w:num w:numId="2">
    <w:abstractNumId w:val="44"/>
  </w:num>
  <w:num w:numId="3">
    <w:abstractNumId w:val="62"/>
  </w:num>
  <w:num w:numId="4">
    <w:abstractNumId w:val="15"/>
  </w:num>
  <w:num w:numId="5">
    <w:abstractNumId w:val="54"/>
  </w:num>
  <w:num w:numId="6">
    <w:abstractNumId w:val="28"/>
  </w:num>
  <w:num w:numId="7">
    <w:abstractNumId w:val="19"/>
  </w:num>
  <w:num w:numId="8">
    <w:abstractNumId w:val="74"/>
  </w:num>
  <w:num w:numId="9">
    <w:abstractNumId w:val="48"/>
  </w:num>
  <w:num w:numId="10">
    <w:abstractNumId w:val="66"/>
  </w:num>
  <w:num w:numId="11">
    <w:abstractNumId w:val="43"/>
  </w:num>
  <w:num w:numId="12">
    <w:abstractNumId w:val="18"/>
  </w:num>
  <w:num w:numId="13">
    <w:abstractNumId w:val="36"/>
  </w:num>
  <w:num w:numId="14">
    <w:abstractNumId w:val="37"/>
  </w:num>
  <w:num w:numId="15">
    <w:abstractNumId w:val="22"/>
  </w:num>
  <w:num w:numId="16">
    <w:abstractNumId w:val="21"/>
  </w:num>
  <w:num w:numId="17">
    <w:abstractNumId w:val="83"/>
  </w:num>
  <w:num w:numId="18">
    <w:abstractNumId w:val="23"/>
  </w:num>
  <w:num w:numId="19">
    <w:abstractNumId w:val="42"/>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87"/>
  </w:num>
  <w:num w:numId="24">
    <w:abstractNumId w:val="63"/>
  </w:num>
  <w:num w:numId="25">
    <w:abstractNumId w:val="79"/>
  </w:num>
  <w:num w:numId="26">
    <w:abstractNumId w:val="84"/>
  </w:num>
  <w:num w:numId="27">
    <w:abstractNumId w:val="61"/>
  </w:num>
  <w:num w:numId="28">
    <w:abstractNumId w:val="20"/>
  </w:num>
  <w:num w:numId="29">
    <w:abstractNumId w:val="33"/>
  </w:num>
  <w:num w:numId="30">
    <w:abstractNumId w:val="80"/>
  </w:num>
  <w:num w:numId="31">
    <w:abstractNumId w:val="75"/>
  </w:num>
  <w:num w:numId="32">
    <w:abstractNumId w:val="52"/>
  </w:num>
  <w:num w:numId="33">
    <w:abstractNumId w:val="73"/>
  </w:num>
  <w:num w:numId="34">
    <w:abstractNumId w:val="38"/>
  </w:num>
  <w:num w:numId="35">
    <w:abstractNumId w:val="76"/>
  </w:num>
  <w:num w:numId="36">
    <w:abstractNumId w:val="14"/>
  </w:num>
  <w:num w:numId="37">
    <w:abstractNumId w:val="45"/>
  </w:num>
  <w:num w:numId="38">
    <w:abstractNumId w:val="7"/>
  </w:num>
  <w:num w:numId="39">
    <w:abstractNumId w:val="6"/>
  </w:num>
  <w:num w:numId="40">
    <w:abstractNumId w:val="69"/>
  </w:num>
  <w:num w:numId="41">
    <w:abstractNumId w:val="29"/>
  </w:num>
  <w:num w:numId="42">
    <w:abstractNumId w:val="3"/>
  </w:num>
  <w:num w:numId="43">
    <w:abstractNumId w:val="12"/>
  </w:num>
  <w:num w:numId="44">
    <w:abstractNumId w:val="0"/>
  </w:num>
  <w:num w:numId="45">
    <w:abstractNumId w:val="4"/>
  </w:num>
  <w:num w:numId="46">
    <w:abstractNumId w:val="58"/>
  </w:num>
  <w:num w:numId="47">
    <w:abstractNumId w:val="46"/>
  </w:num>
  <w:num w:numId="48">
    <w:abstractNumId w:val="9"/>
  </w:num>
  <w:num w:numId="49">
    <w:abstractNumId w:val="88"/>
  </w:num>
  <w:num w:numId="50">
    <w:abstractNumId w:val="10"/>
  </w:num>
  <w:num w:numId="51">
    <w:abstractNumId w:val="72"/>
  </w:num>
  <w:num w:numId="52">
    <w:abstractNumId w:val="70"/>
  </w:num>
  <w:num w:numId="53">
    <w:abstractNumId w:val="2"/>
  </w:num>
  <w:num w:numId="54">
    <w:abstractNumId w:val="17"/>
  </w:num>
  <w:num w:numId="55">
    <w:abstractNumId w:val="5"/>
  </w:num>
  <w:num w:numId="56">
    <w:abstractNumId w:val="64"/>
  </w:num>
  <w:num w:numId="57">
    <w:abstractNumId w:val="40"/>
  </w:num>
  <w:num w:numId="58">
    <w:abstractNumId w:val="60"/>
  </w:num>
  <w:num w:numId="59">
    <w:abstractNumId w:val="47"/>
  </w:num>
  <w:num w:numId="60">
    <w:abstractNumId w:val="55"/>
  </w:num>
  <w:num w:numId="61">
    <w:abstractNumId w:val="49"/>
  </w:num>
  <w:num w:numId="62">
    <w:abstractNumId w:val="31"/>
  </w:num>
  <w:num w:numId="63">
    <w:abstractNumId w:val="68"/>
  </w:num>
  <w:num w:numId="64">
    <w:abstractNumId w:val="89"/>
  </w:num>
  <w:num w:numId="65">
    <w:abstractNumId w:val="32"/>
  </w:num>
  <w:num w:numId="66">
    <w:abstractNumId w:val="30"/>
  </w:num>
  <w:num w:numId="67">
    <w:abstractNumId w:val="13"/>
  </w:num>
  <w:num w:numId="68">
    <w:abstractNumId w:val="67"/>
    <w:lvlOverride w:ilvl="0">
      <w:startOverride w:val="1"/>
    </w:lvlOverride>
  </w:num>
  <w:num w:numId="69">
    <w:abstractNumId w:val="26"/>
  </w:num>
  <w:num w:numId="70">
    <w:abstractNumId w:val="39"/>
  </w:num>
  <w:num w:numId="71">
    <w:abstractNumId w:val="85"/>
  </w:num>
  <w:num w:numId="72">
    <w:abstractNumId w:val="65"/>
  </w:num>
  <w:num w:numId="73">
    <w:abstractNumId w:val="8"/>
  </w:num>
  <w:num w:numId="74">
    <w:abstractNumId w:val="86"/>
  </w:num>
  <w:num w:numId="75">
    <w:abstractNumId w:val="11"/>
  </w:num>
  <w:num w:numId="76">
    <w:abstractNumId w:val="1"/>
  </w:num>
  <w:num w:numId="77">
    <w:abstractNumId w:val="56"/>
  </w:num>
  <w:num w:numId="78">
    <w:abstractNumId w:val="78"/>
  </w:num>
  <w:num w:numId="79">
    <w:abstractNumId w:val="57"/>
  </w:num>
  <w:num w:numId="80">
    <w:abstractNumId w:val="25"/>
  </w:num>
  <w:num w:numId="81">
    <w:abstractNumId w:val="35"/>
  </w:num>
  <w:num w:numId="82">
    <w:abstractNumId w:val="81"/>
  </w:num>
  <w:num w:numId="83">
    <w:abstractNumId w:val="51"/>
  </w:num>
  <w:num w:numId="84">
    <w:abstractNumId w:val="82"/>
  </w:num>
  <w:num w:numId="85">
    <w:abstractNumId w:val="24"/>
  </w:num>
  <w:num w:numId="86">
    <w:abstractNumId w:val="77"/>
  </w:num>
  <w:num w:numId="87">
    <w:abstractNumId w:val="34"/>
  </w:num>
  <w:num w:numId="88">
    <w:abstractNumId w:val="16"/>
  </w:num>
  <w:num w:numId="89">
    <w:abstractNumId w:val="27"/>
  </w:num>
  <w:num w:numId="9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5415"/>
    <w:rsid w:val="000000DE"/>
    <w:rsid w:val="00000250"/>
    <w:rsid w:val="00016562"/>
    <w:rsid w:val="00017BE8"/>
    <w:rsid w:val="00020344"/>
    <w:rsid w:val="000212F4"/>
    <w:rsid w:val="00030B03"/>
    <w:rsid w:val="00032AF8"/>
    <w:rsid w:val="00040B72"/>
    <w:rsid w:val="00046CAA"/>
    <w:rsid w:val="00050E9B"/>
    <w:rsid w:val="000651A4"/>
    <w:rsid w:val="000658A4"/>
    <w:rsid w:val="00072EC1"/>
    <w:rsid w:val="00075213"/>
    <w:rsid w:val="00077E85"/>
    <w:rsid w:val="000812D6"/>
    <w:rsid w:val="00081EFC"/>
    <w:rsid w:val="00082AFB"/>
    <w:rsid w:val="000839B3"/>
    <w:rsid w:val="000855FE"/>
    <w:rsid w:val="000877A7"/>
    <w:rsid w:val="00092450"/>
    <w:rsid w:val="00095415"/>
    <w:rsid w:val="00095B1D"/>
    <w:rsid w:val="000A055A"/>
    <w:rsid w:val="000A1949"/>
    <w:rsid w:val="000A6953"/>
    <w:rsid w:val="000B1EA5"/>
    <w:rsid w:val="000B3053"/>
    <w:rsid w:val="000B42CE"/>
    <w:rsid w:val="000C1DBB"/>
    <w:rsid w:val="000C2224"/>
    <w:rsid w:val="000C46E9"/>
    <w:rsid w:val="000C5709"/>
    <w:rsid w:val="000D036D"/>
    <w:rsid w:val="000D274B"/>
    <w:rsid w:val="000D30C1"/>
    <w:rsid w:val="000E0271"/>
    <w:rsid w:val="000E235D"/>
    <w:rsid w:val="000E36E2"/>
    <w:rsid w:val="000E4686"/>
    <w:rsid w:val="000F04E9"/>
    <w:rsid w:val="000F64E0"/>
    <w:rsid w:val="00100585"/>
    <w:rsid w:val="00105BC5"/>
    <w:rsid w:val="001103C6"/>
    <w:rsid w:val="00113AC0"/>
    <w:rsid w:val="00115B8E"/>
    <w:rsid w:val="00121A8E"/>
    <w:rsid w:val="00122C84"/>
    <w:rsid w:val="00127058"/>
    <w:rsid w:val="00127A5A"/>
    <w:rsid w:val="00133220"/>
    <w:rsid w:val="001338E8"/>
    <w:rsid w:val="001341BF"/>
    <w:rsid w:val="001558FF"/>
    <w:rsid w:val="001615E4"/>
    <w:rsid w:val="00162077"/>
    <w:rsid w:val="001641C9"/>
    <w:rsid w:val="0016754B"/>
    <w:rsid w:val="00177C62"/>
    <w:rsid w:val="00180BD3"/>
    <w:rsid w:val="00185E9A"/>
    <w:rsid w:val="00195674"/>
    <w:rsid w:val="001A0AB1"/>
    <w:rsid w:val="001A1335"/>
    <w:rsid w:val="001A18A1"/>
    <w:rsid w:val="001A2B2A"/>
    <w:rsid w:val="001A54E8"/>
    <w:rsid w:val="001B03BB"/>
    <w:rsid w:val="001B38CD"/>
    <w:rsid w:val="001C6B76"/>
    <w:rsid w:val="001C7B23"/>
    <w:rsid w:val="001D2460"/>
    <w:rsid w:val="001D256F"/>
    <w:rsid w:val="001D3EE7"/>
    <w:rsid w:val="001D7598"/>
    <w:rsid w:val="001E157C"/>
    <w:rsid w:val="001E366A"/>
    <w:rsid w:val="001E5D69"/>
    <w:rsid w:val="001E7CEA"/>
    <w:rsid w:val="001F002C"/>
    <w:rsid w:val="00207FC3"/>
    <w:rsid w:val="00220470"/>
    <w:rsid w:val="00220F60"/>
    <w:rsid w:val="00222B0D"/>
    <w:rsid w:val="00223408"/>
    <w:rsid w:val="00230395"/>
    <w:rsid w:val="002334D5"/>
    <w:rsid w:val="002347E6"/>
    <w:rsid w:val="0023544C"/>
    <w:rsid w:val="00236772"/>
    <w:rsid w:val="002426EA"/>
    <w:rsid w:val="002446C6"/>
    <w:rsid w:val="0026342E"/>
    <w:rsid w:val="00271B48"/>
    <w:rsid w:val="00276CFD"/>
    <w:rsid w:val="00277541"/>
    <w:rsid w:val="0028191C"/>
    <w:rsid w:val="00293211"/>
    <w:rsid w:val="00295F64"/>
    <w:rsid w:val="002A6A07"/>
    <w:rsid w:val="002B7581"/>
    <w:rsid w:val="002C1EC4"/>
    <w:rsid w:val="002C38E4"/>
    <w:rsid w:val="002C7FA6"/>
    <w:rsid w:val="002D07BB"/>
    <w:rsid w:val="002D412B"/>
    <w:rsid w:val="002F1D26"/>
    <w:rsid w:val="002F58D6"/>
    <w:rsid w:val="00301D7C"/>
    <w:rsid w:val="00310B7E"/>
    <w:rsid w:val="00310F98"/>
    <w:rsid w:val="00314B08"/>
    <w:rsid w:val="00316026"/>
    <w:rsid w:val="00320ACF"/>
    <w:rsid w:val="00322FD3"/>
    <w:rsid w:val="00323F1C"/>
    <w:rsid w:val="00330DF7"/>
    <w:rsid w:val="00333225"/>
    <w:rsid w:val="0033323B"/>
    <w:rsid w:val="0033499E"/>
    <w:rsid w:val="00344E95"/>
    <w:rsid w:val="003508EE"/>
    <w:rsid w:val="00352AE1"/>
    <w:rsid w:val="00353542"/>
    <w:rsid w:val="003540BC"/>
    <w:rsid w:val="00354185"/>
    <w:rsid w:val="00360712"/>
    <w:rsid w:val="0036309F"/>
    <w:rsid w:val="0036474B"/>
    <w:rsid w:val="003661C8"/>
    <w:rsid w:val="00366E30"/>
    <w:rsid w:val="00370B3F"/>
    <w:rsid w:val="00377B5F"/>
    <w:rsid w:val="00383221"/>
    <w:rsid w:val="0038346C"/>
    <w:rsid w:val="003869FF"/>
    <w:rsid w:val="00393E94"/>
    <w:rsid w:val="003B0D5A"/>
    <w:rsid w:val="003B3BEE"/>
    <w:rsid w:val="003B4F8E"/>
    <w:rsid w:val="003B718F"/>
    <w:rsid w:val="003B7A0D"/>
    <w:rsid w:val="003C2008"/>
    <w:rsid w:val="003C2241"/>
    <w:rsid w:val="003C6083"/>
    <w:rsid w:val="003C70FC"/>
    <w:rsid w:val="003D1759"/>
    <w:rsid w:val="003D5E80"/>
    <w:rsid w:val="003F2B92"/>
    <w:rsid w:val="003F3007"/>
    <w:rsid w:val="003F67E5"/>
    <w:rsid w:val="004002DC"/>
    <w:rsid w:val="0040203C"/>
    <w:rsid w:val="0040329E"/>
    <w:rsid w:val="0040679C"/>
    <w:rsid w:val="00406BC4"/>
    <w:rsid w:val="004110F8"/>
    <w:rsid w:val="00414A80"/>
    <w:rsid w:val="004161BA"/>
    <w:rsid w:val="00422448"/>
    <w:rsid w:val="0042334D"/>
    <w:rsid w:val="004316A5"/>
    <w:rsid w:val="004349F3"/>
    <w:rsid w:val="00434FF2"/>
    <w:rsid w:val="0043503C"/>
    <w:rsid w:val="0043695B"/>
    <w:rsid w:val="00436CC2"/>
    <w:rsid w:val="00445625"/>
    <w:rsid w:val="004475F1"/>
    <w:rsid w:val="0045608D"/>
    <w:rsid w:val="00457308"/>
    <w:rsid w:val="004605F3"/>
    <w:rsid w:val="00461DFE"/>
    <w:rsid w:val="004713B1"/>
    <w:rsid w:val="00476E59"/>
    <w:rsid w:val="004779FC"/>
    <w:rsid w:val="004871A8"/>
    <w:rsid w:val="00492B57"/>
    <w:rsid w:val="004A4F81"/>
    <w:rsid w:val="004B0CC2"/>
    <w:rsid w:val="004B118F"/>
    <w:rsid w:val="004B4BED"/>
    <w:rsid w:val="004C1027"/>
    <w:rsid w:val="004C62F7"/>
    <w:rsid w:val="004C750B"/>
    <w:rsid w:val="004D548F"/>
    <w:rsid w:val="004E00F2"/>
    <w:rsid w:val="004E40B4"/>
    <w:rsid w:val="004E48AF"/>
    <w:rsid w:val="004E5A44"/>
    <w:rsid w:val="004F21F4"/>
    <w:rsid w:val="004F43AD"/>
    <w:rsid w:val="004F5FCD"/>
    <w:rsid w:val="004F6C23"/>
    <w:rsid w:val="005025B6"/>
    <w:rsid w:val="00504551"/>
    <w:rsid w:val="00507C2C"/>
    <w:rsid w:val="00511E96"/>
    <w:rsid w:val="005130B9"/>
    <w:rsid w:val="00521383"/>
    <w:rsid w:val="00522A02"/>
    <w:rsid w:val="00522D80"/>
    <w:rsid w:val="00525A93"/>
    <w:rsid w:val="00537C6D"/>
    <w:rsid w:val="005432E6"/>
    <w:rsid w:val="005437D7"/>
    <w:rsid w:val="00543FD9"/>
    <w:rsid w:val="005445A9"/>
    <w:rsid w:val="005445B4"/>
    <w:rsid w:val="00545B0F"/>
    <w:rsid w:val="00545EDA"/>
    <w:rsid w:val="00552BFE"/>
    <w:rsid w:val="005547AA"/>
    <w:rsid w:val="00556850"/>
    <w:rsid w:val="00560FA5"/>
    <w:rsid w:val="0056283B"/>
    <w:rsid w:val="005666F9"/>
    <w:rsid w:val="00573437"/>
    <w:rsid w:val="0057573F"/>
    <w:rsid w:val="00580FFF"/>
    <w:rsid w:val="005813AA"/>
    <w:rsid w:val="0058146A"/>
    <w:rsid w:val="0059229A"/>
    <w:rsid w:val="00592E0F"/>
    <w:rsid w:val="005967BA"/>
    <w:rsid w:val="005A58A0"/>
    <w:rsid w:val="005B12FC"/>
    <w:rsid w:val="005B6D3E"/>
    <w:rsid w:val="005B713A"/>
    <w:rsid w:val="005C0BB7"/>
    <w:rsid w:val="005C304D"/>
    <w:rsid w:val="005C31D8"/>
    <w:rsid w:val="005D6632"/>
    <w:rsid w:val="005D6D24"/>
    <w:rsid w:val="005E3CD4"/>
    <w:rsid w:val="005F1588"/>
    <w:rsid w:val="005F2111"/>
    <w:rsid w:val="005F2449"/>
    <w:rsid w:val="005F3F32"/>
    <w:rsid w:val="006000D6"/>
    <w:rsid w:val="00601112"/>
    <w:rsid w:val="00601990"/>
    <w:rsid w:val="00605C0D"/>
    <w:rsid w:val="00614BA9"/>
    <w:rsid w:val="00623CBB"/>
    <w:rsid w:val="006302AC"/>
    <w:rsid w:val="006440C5"/>
    <w:rsid w:val="00644BF3"/>
    <w:rsid w:val="00651541"/>
    <w:rsid w:val="00653374"/>
    <w:rsid w:val="006625FC"/>
    <w:rsid w:val="0066379F"/>
    <w:rsid w:val="00663B35"/>
    <w:rsid w:val="00664004"/>
    <w:rsid w:val="00666B23"/>
    <w:rsid w:val="006769BE"/>
    <w:rsid w:val="0067786F"/>
    <w:rsid w:val="0068074A"/>
    <w:rsid w:val="006809EA"/>
    <w:rsid w:val="00680A96"/>
    <w:rsid w:val="00682DAA"/>
    <w:rsid w:val="00690659"/>
    <w:rsid w:val="00692F83"/>
    <w:rsid w:val="006A2197"/>
    <w:rsid w:val="006A6C1D"/>
    <w:rsid w:val="006A6C51"/>
    <w:rsid w:val="006A7A3D"/>
    <w:rsid w:val="006C0B5F"/>
    <w:rsid w:val="006C0B7B"/>
    <w:rsid w:val="006C1AF1"/>
    <w:rsid w:val="006C3F27"/>
    <w:rsid w:val="006C6FDC"/>
    <w:rsid w:val="006D0533"/>
    <w:rsid w:val="006D1D6E"/>
    <w:rsid w:val="006D2505"/>
    <w:rsid w:val="006D75F6"/>
    <w:rsid w:val="006F0D07"/>
    <w:rsid w:val="0070222F"/>
    <w:rsid w:val="00715E44"/>
    <w:rsid w:val="00722075"/>
    <w:rsid w:val="00723103"/>
    <w:rsid w:val="00725899"/>
    <w:rsid w:val="00725F67"/>
    <w:rsid w:val="007308BA"/>
    <w:rsid w:val="007318D6"/>
    <w:rsid w:val="00732E91"/>
    <w:rsid w:val="00737211"/>
    <w:rsid w:val="007424CD"/>
    <w:rsid w:val="00742D75"/>
    <w:rsid w:val="00743A00"/>
    <w:rsid w:val="0076345F"/>
    <w:rsid w:val="0077270B"/>
    <w:rsid w:val="00773A2C"/>
    <w:rsid w:val="00774EB7"/>
    <w:rsid w:val="00775A96"/>
    <w:rsid w:val="0077646D"/>
    <w:rsid w:val="00780DBA"/>
    <w:rsid w:val="00781A62"/>
    <w:rsid w:val="00782541"/>
    <w:rsid w:val="00784AEB"/>
    <w:rsid w:val="00784ED7"/>
    <w:rsid w:val="00786E84"/>
    <w:rsid w:val="00794426"/>
    <w:rsid w:val="007977E2"/>
    <w:rsid w:val="007A27DA"/>
    <w:rsid w:val="007A2D91"/>
    <w:rsid w:val="007A427D"/>
    <w:rsid w:val="007A6F5F"/>
    <w:rsid w:val="007B2A59"/>
    <w:rsid w:val="007B3FB5"/>
    <w:rsid w:val="007B438A"/>
    <w:rsid w:val="007B5F75"/>
    <w:rsid w:val="007C01B3"/>
    <w:rsid w:val="007C0821"/>
    <w:rsid w:val="007C0DA7"/>
    <w:rsid w:val="007C132C"/>
    <w:rsid w:val="007C1D03"/>
    <w:rsid w:val="007C7D26"/>
    <w:rsid w:val="007D053D"/>
    <w:rsid w:val="007D1310"/>
    <w:rsid w:val="007D72CF"/>
    <w:rsid w:val="007E3D3C"/>
    <w:rsid w:val="007F42A1"/>
    <w:rsid w:val="007F48F2"/>
    <w:rsid w:val="007F504A"/>
    <w:rsid w:val="007F58B5"/>
    <w:rsid w:val="007F6863"/>
    <w:rsid w:val="007F6F97"/>
    <w:rsid w:val="00802536"/>
    <w:rsid w:val="00804419"/>
    <w:rsid w:val="00804568"/>
    <w:rsid w:val="0081114F"/>
    <w:rsid w:val="00812116"/>
    <w:rsid w:val="00813F0A"/>
    <w:rsid w:val="00816910"/>
    <w:rsid w:val="00820E08"/>
    <w:rsid w:val="0082486D"/>
    <w:rsid w:val="0083226B"/>
    <w:rsid w:val="00844314"/>
    <w:rsid w:val="008456E3"/>
    <w:rsid w:val="008466F6"/>
    <w:rsid w:val="00861A7A"/>
    <w:rsid w:val="00863EDD"/>
    <w:rsid w:val="00876E59"/>
    <w:rsid w:val="00877211"/>
    <w:rsid w:val="008852AB"/>
    <w:rsid w:val="0088586B"/>
    <w:rsid w:val="0088680B"/>
    <w:rsid w:val="008879F9"/>
    <w:rsid w:val="008966BE"/>
    <w:rsid w:val="008A30BA"/>
    <w:rsid w:val="008B39F2"/>
    <w:rsid w:val="008B4F32"/>
    <w:rsid w:val="008B5601"/>
    <w:rsid w:val="008B6529"/>
    <w:rsid w:val="008C29CC"/>
    <w:rsid w:val="008D0508"/>
    <w:rsid w:val="008D35F1"/>
    <w:rsid w:val="008D3612"/>
    <w:rsid w:val="008D5777"/>
    <w:rsid w:val="008D7D59"/>
    <w:rsid w:val="008E2203"/>
    <w:rsid w:val="008E3D6C"/>
    <w:rsid w:val="008E4719"/>
    <w:rsid w:val="008E5ECC"/>
    <w:rsid w:val="008F0755"/>
    <w:rsid w:val="008F1B81"/>
    <w:rsid w:val="008F3383"/>
    <w:rsid w:val="008F7A09"/>
    <w:rsid w:val="009020C7"/>
    <w:rsid w:val="0090240A"/>
    <w:rsid w:val="00903A2D"/>
    <w:rsid w:val="00903C4F"/>
    <w:rsid w:val="00907388"/>
    <w:rsid w:val="00911430"/>
    <w:rsid w:val="00913A82"/>
    <w:rsid w:val="00914F14"/>
    <w:rsid w:val="00922763"/>
    <w:rsid w:val="009273C6"/>
    <w:rsid w:val="00933750"/>
    <w:rsid w:val="009340D9"/>
    <w:rsid w:val="00935E05"/>
    <w:rsid w:val="0093723A"/>
    <w:rsid w:val="00937B4F"/>
    <w:rsid w:val="009402E6"/>
    <w:rsid w:val="00941EE5"/>
    <w:rsid w:val="00943F98"/>
    <w:rsid w:val="00947542"/>
    <w:rsid w:val="009506D5"/>
    <w:rsid w:val="00954A2F"/>
    <w:rsid w:val="00955F40"/>
    <w:rsid w:val="00956AAC"/>
    <w:rsid w:val="00961704"/>
    <w:rsid w:val="00966823"/>
    <w:rsid w:val="00967D22"/>
    <w:rsid w:val="0097080D"/>
    <w:rsid w:val="009714FE"/>
    <w:rsid w:val="009732D5"/>
    <w:rsid w:val="00973398"/>
    <w:rsid w:val="00976B9F"/>
    <w:rsid w:val="00982AD3"/>
    <w:rsid w:val="009849C0"/>
    <w:rsid w:val="0098774A"/>
    <w:rsid w:val="009944A9"/>
    <w:rsid w:val="00996DEE"/>
    <w:rsid w:val="009B1014"/>
    <w:rsid w:val="009B11C0"/>
    <w:rsid w:val="009B3048"/>
    <w:rsid w:val="009B3424"/>
    <w:rsid w:val="009D36C0"/>
    <w:rsid w:val="009E04AF"/>
    <w:rsid w:val="009F522E"/>
    <w:rsid w:val="00A05AF5"/>
    <w:rsid w:val="00A0777C"/>
    <w:rsid w:val="00A25B16"/>
    <w:rsid w:val="00A30AE5"/>
    <w:rsid w:val="00A30DFD"/>
    <w:rsid w:val="00A33A80"/>
    <w:rsid w:val="00A35209"/>
    <w:rsid w:val="00A3568F"/>
    <w:rsid w:val="00A36FFA"/>
    <w:rsid w:val="00A40BC9"/>
    <w:rsid w:val="00A46DEF"/>
    <w:rsid w:val="00A51D8F"/>
    <w:rsid w:val="00A52A2B"/>
    <w:rsid w:val="00A57550"/>
    <w:rsid w:val="00A61A54"/>
    <w:rsid w:val="00A62860"/>
    <w:rsid w:val="00A6620B"/>
    <w:rsid w:val="00A678FB"/>
    <w:rsid w:val="00A74A2C"/>
    <w:rsid w:val="00A813D2"/>
    <w:rsid w:val="00A86B7B"/>
    <w:rsid w:val="00A879DB"/>
    <w:rsid w:val="00A90149"/>
    <w:rsid w:val="00A971CB"/>
    <w:rsid w:val="00AB20F0"/>
    <w:rsid w:val="00AB2B17"/>
    <w:rsid w:val="00AB3343"/>
    <w:rsid w:val="00AB5159"/>
    <w:rsid w:val="00AB5E37"/>
    <w:rsid w:val="00AB69D2"/>
    <w:rsid w:val="00AC399F"/>
    <w:rsid w:val="00AC584B"/>
    <w:rsid w:val="00AD18FC"/>
    <w:rsid w:val="00AD3505"/>
    <w:rsid w:val="00AD52A3"/>
    <w:rsid w:val="00AD634F"/>
    <w:rsid w:val="00AE02A5"/>
    <w:rsid w:val="00AE6231"/>
    <w:rsid w:val="00AF18BF"/>
    <w:rsid w:val="00B002B6"/>
    <w:rsid w:val="00B0070A"/>
    <w:rsid w:val="00B107DE"/>
    <w:rsid w:val="00B11F2B"/>
    <w:rsid w:val="00B139FB"/>
    <w:rsid w:val="00B154C1"/>
    <w:rsid w:val="00B158AD"/>
    <w:rsid w:val="00B161F2"/>
    <w:rsid w:val="00B20FD9"/>
    <w:rsid w:val="00B247E6"/>
    <w:rsid w:val="00B36D9B"/>
    <w:rsid w:val="00B50517"/>
    <w:rsid w:val="00B52520"/>
    <w:rsid w:val="00B53B12"/>
    <w:rsid w:val="00B60586"/>
    <w:rsid w:val="00B627A4"/>
    <w:rsid w:val="00B67CCB"/>
    <w:rsid w:val="00B70328"/>
    <w:rsid w:val="00B73233"/>
    <w:rsid w:val="00B74B53"/>
    <w:rsid w:val="00B80DFA"/>
    <w:rsid w:val="00B84A3B"/>
    <w:rsid w:val="00B8653D"/>
    <w:rsid w:val="00B93939"/>
    <w:rsid w:val="00B956F2"/>
    <w:rsid w:val="00B97843"/>
    <w:rsid w:val="00BA438A"/>
    <w:rsid w:val="00BA4681"/>
    <w:rsid w:val="00BB2DDA"/>
    <w:rsid w:val="00BB78CC"/>
    <w:rsid w:val="00BC386C"/>
    <w:rsid w:val="00BC3AA1"/>
    <w:rsid w:val="00BD0C54"/>
    <w:rsid w:val="00BD2144"/>
    <w:rsid w:val="00BD62C1"/>
    <w:rsid w:val="00BD681B"/>
    <w:rsid w:val="00BE30B3"/>
    <w:rsid w:val="00BE3563"/>
    <w:rsid w:val="00BE6554"/>
    <w:rsid w:val="00BF5732"/>
    <w:rsid w:val="00C004AE"/>
    <w:rsid w:val="00C0257A"/>
    <w:rsid w:val="00C040D1"/>
    <w:rsid w:val="00C139A6"/>
    <w:rsid w:val="00C1592E"/>
    <w:rsid w:val="00C27179"/>
    <w:rsid w:val="00C37FEA"/>
    <w:rsid w:val="00C4038F"/>
    <w:rsid w:val="00C42F4C"/>
    <w:rsid w:val="00C45BD4"/>
    <w:rsid w:val="00C469B0"/>
    <w:rsid w:val="00C52140"/>
    <w:rsid w:val="00C64450"/>
    <w:rsid w:val="00C64D3E"/>
    <w:rsid w:val="00C6643D"/>
    <w:rsid w:val="00C6680F"/>
    <w:rsid w:val="00C66ACC"/>
    <w:rsid w:val="00C72415"/>
    <w:rsid w:val="00C77E82"/>
    <w:rsid w:val="00C810F5"/>
    <w:rsid w:val="00C824F5"/>
    <w:rsid w:val="00C8468C"/>
    <w:rsid w:val="00C86EE8"/>
    <w:rsid w:val="00C9289E"/>
    <w:rsid w:val="00C92F51"/>
    <w:rsid w:val="00CA0BE3"/>
    <w:rsid w:val="00CA0EE5"/>
    <w:rsid w:val="00CA0F95"/>
    <w:rsid w:val="00CB10F9"/>
    <w:rsid w:val="00CB3DF8"/>
    <w:rsid w:val="00CB413B"/>
    <w:rsid w:val="00CB6C6E"/>
    <w:rsid w:val="00CB70FE"/>
    <w:rsid w:val="00CE2DC2"/>
    <w:rsid w:val="00CE3108"/>
    <w:rsid w:val="00CE48E7"/>
    <w:rsid w:val="00CF76A5"/>
    <w:rsid w:val="00D123DC"/>
    <w:rsid w:val="00D14987"/>
    <w:rsid w:val="00D14E3A"/>
    <w:rsid w:val="00D204F5"/>
    <w:rsid w:val="00D22E53"/>
    <w:rsid w:val="00D32F66"/>
    <w:rsid w:val="00D369DE"/>
    <w:rsid w:val="00D36F2C"/>
    <w:rsid w:val="00D5042D"/>
    <w:rsid w:val="00D63490"/>
    <w:rsid w:val="00D637AE"/>
    <w:rsid w:val="00D64AB9"/>
    <w:rsid w:val="00D67073"/>
    <w:rsid w:val="00D7177A"/>
    <w:rsid w:val="00D72214"/>
    <w:rsid w:val="00D74562"/>
    <w:rsid w:val="00D8595A"/>
    <w:rsid w:val="00D87455"/>
    <w:rsid w:val="00D90694"/>
    <w:rsid w:val="00D9318A"/>
    <w:rsid w:val="00D94CD4"/>
    <w:rsid w:val="00DA4143"/>
    <w:rsid w:val="00DA43A4"/>
    <w:rsid w:val="00DB00B6"/>
    <w:rsid w:val="00DB3C8A"/>
    <w:rsid w:val="00DB7CDE"/>
    <w:rsid w:val="00DC4938"/>
    <w:rsid w:val="00DD300A"/>
    <w:rsid w:val="00DD6657"/>
    <w:rsid w:val="00DE4A9E"/>
    <w:rsid w:val="00DF1990"/>
    <w:rsid w:val="00E00674"/>
    <w:rsid w:val="00E00D82"/>
    <w:rsid w:val="00E02B75"/>
    <w:rsid w:val="00E050C9"/>
    <w:rsid w:val="00E05B42"/>
    <w:rsid w:val="00E14D3C"/>
    <w:rsid w:val="00E15A50"/>
    <w:rsid w:val="00E17856"/>
    <w:rsid w:val="00E21300"/>
    <w:rsid w:val="00E22388"/>
    <w:rsid w:val="00E2369D"/>
    <w:rsid w:val="00E272FF"/>
    <w:rsid w:val="00E31D8A"/>
    <w:rsid w:val="00E32C21"/>
    <w:rsid w:val="00E34D2C"/>
    <w:rsid w:val="00E3763E"/>
    <w:rsid w:val="00E41743"/>
    <w:rsid w:val="00E46441"/>
    <w:rsid w:val="00E52D48"/>
    <w:rsid w:val="00E54453"/>
    <w:rsid w:val="00E54B2F"/>
    <w:rsid w:val="00E54FFA"/>
    <w:rsid w:val="00E6450D"/>
    <w:rsid w:val="00E7163C"/>
    <w:rsid w:val="00E71EB0"/>
    <w:rsid w:val="00E840D7"/>
    <w:rsid w:val="00E96DD1"/>
    <w:rsid w:val="00E971BC"/>
    <w:rsid w:val="00EA0C6D"/>
    <w:rsid w:val="00EB0088"/>
    <w:rsid w:val="00EB1E3A"/>
    <w:rsid w:val="00EB4033"/>
    <w:rsid w:val="00ED0545"/>
    <w:rsid w:val="00EE3686"/>
    <w:rsid w:val="00EE3C83"/>
    <w:rsid w:val="00EE715C"/>
    <w:rsid w:val="00F04B4C"/>
    <w:rsid w:val="00F05323"/>
    <w:rsid w:val="00F05FC4"/>
    <w:rsid w:val="00F147DD"/>
    <w:rsid w:val="00F152FA"/>
    <w:rsid w:val="00F17360"/>
    <w:rsid w:val="00F22E83"/>
    <w:rsid w:val="00F242DA"/>
    <w:rsid w:val="00F24BF3"/>
    <w:rsid w:val="00F276BF"/>
    <w:rsid w:val="00F27DEA"/>
    <w:rsid w:val="00F30B5D"/>
    <w:rsid w:val="00F42684"/>
    <w:rsid w:val="00F47226"/>
    <w:rsid w:val="00F5567D"/>
    <w:rsid w:val="00F63420"/>
    <w:rsid w:val="00F67BBE"/>
    <w:rsid w:val="00F71D83"/>
    <w:rsid w:val="00F8185B"/>
    <w:rsid w:val="00F94795"/>
    <w:rsid w:val="00FA55CF"/>
    <w:rsid w:val="00FB2B31"/>
    <w:rsid w:val="00FC2E73"/>
    <w:rsid w:val="00FD03EA"/>
    <w:rsid w:val="00FD23B1"/>
    <w:rsid w:val="00FD44A8"/>
    <w:rsid w:val="00FD46A4"/>
    <w:rsid w:val="00FD78AA"/>
    <w:rsid w:val="00FE2024"/>
    <w:rsid w:val="00FE452E"/>
    <w:rsid w:val="00FE51C1"/>
    <w:rsid w:val="00FE6145"/>
    <w:rsid w:val="00FF39C3"/>
    <w:rsid w:val="00FF4FBA"/>
    <w:rsid w:val="00FF6E00"/>
    <w:rsid w:val="019B750C"/>
    <w:rsid w:val="01D059AA"/>
    <w:rsid w:val="02111266"/>
    <w:rsid w:val="02D73471"/>
    <w:rsid w:val="032C6079"/>
    <w:rsid w:val="035D368C"/>
    <w:rsid w:val="03931EEC"/>
    <w:rsid w:val="03FA22D5"/>
    <w:rsid w:val="045E7450"/>
    <w:rsid w:val="046B329B"/>
    <w:rsid w:val="05E72483"/>
    <w:rsid w:val="05F702F2"/>
    <w:rsid w:val="07780649"/>
    <w:rsid w:val="09FF4020"/>
    <w:rsid w:val="0B154A0B"/>
    <w:rsid w:val="0B58703D"/>
    <w:rsid w:val="0B8B4E53"/>
    <w:rsid w:val="0C814E9C"/>
    <w:rsid w:val="0D670628"/>
    <w:rsid w:val="0DBC62C5"/>
    <w:rsid w:val="0E420988"/>
    <w:rsid w:val="0E4D4A8E"/>
    <w:rsid w:val="0FAF25CC"/>
    <w:rsid w:val="10032A8D"/>
    <w:rsid w:val="10033297"/>
    <w:rsid w:val="10AA1D9D"/>
    <w:rsid w:val="11923040"/>
    <w:rsid w:val="1363593C"/>
    <w:rsid w:val="14285F5F"/>
    <w:rsid w:val="15851B3A"/>
    <w:rsid w:val="159A33B0"/>
    <w:rsid w:val="170E4F44"/>
    <w:rsid w:val="17D25818"/>
    <w:rsid w:val="183935FB"/>
    <w:rsid w:val="195E03BD"/>
    <w:rsid w:val="1BA21207"/>
    <w:rsid w:val="1CEB58E0"/>
    <w:rsid w:val="1D555D0D"/>
    <w:rsid w:val="1F206774"/>
    <w:rsid w:val="1FD52FCF"/>
    <w:rsid w:val="20491C88"/>
    <w:rsid w:val="20580764"/>
    <w:rsid w:val="20CE4472"/>
    <w:rsid w:val="21FC6A6E"/>
    <w:rsid w:val="22506B12"/>
    <w:rsid w:val="22587C39"/>
    <w:rsid w:val="24142018"/>
    <w:rsid w:val="24427848"/>
    <w:rsid w:val="253F4E3C"/>
    <w:rsid w:val="26815CB9"/>
    <w:rsid w:val="26F855C1"/>
    <w:rsid w:val="28F539FE"/>
    <w:rsid w:val="2A1F55BF"/>
    <w:rsid w:val="2A44568D"/>
    <w:rsid w:val="2BB862F9"/>
    <w:rsid w:val="2BE14861"/>
    <w:rsid w:val="2E694FC7"/>
    <w:rsid w:val="2ED906F2"/>
    <w:rsid w:val="2F181830"/>
    <w:rsid w:val="2F705654"/>
    <w:rsid w:val="31614F93"/>
    <w:rsid w:val="31A72ED2"/>
    <w:rsid w:val="31E835EA"/>
    <w:rsid w:val="325D1B83"/>
    <w:rsid w:val="327962AE"/>
    <w:rsid w:val="347D1339"/>
    <w:rsid w:val="34DF6DDF"/>
    <w:rsid w:val="353A4BBE"/>
    <w:rsid w:val="35705737"/>
    <w:rsid w:val="37D05330"/>
    <w:rsid w:val="38C77B24"/>
    <w:rsid w:val="3A25386E"/>
    <w:rsid w:val="3A382544"/>
    <w:rsid w:val="3C143BE2"/>
    <w:rsid w:val="3CDA5EDE"/>
    <w:rsid w:val="3D433BD1"/>
    <w:rsid w:val="3E732E40"/>
    <w:rsid w:val="3FF37E10"/>
    <w:rsid w:val="40C358EB"/>
    <w:rsid w:val="41883E13"/>
    <w:rsid w:val="41C32F69"/>
    <w:rsid w:val="41EE6D69"/>
    <w:rsid w:val="42FF1850"/>
    <w:rsid w:val="438803F0"/>
    <w:rsid w:val="439F39A6"/>
    <w:rsid w:val="43E603AD"/>
    <w:rsid w:val="43FC092E"/>
    <w:rsid w:val="471C1FF9"/>
    <w:rsid w:val="48306B99"/>
    <w:rsid w:val="48666779"/>
    <w:rsid w:val="4873474F"/>
    <w:rsid w:val="490E4823"/>
    <w:rsid w:val="49AE5E34"/>
    <w:rsid w:val="49F27D97"/>
    <w:rsid w:val="4ADA14FE"/>
    <w:rsid w:val="4B6A5FA1"/>
    <w:rsid w:val="4CA601DF"/>
    <w:rsid w:val="4E1D47C7"/>
    <w:rsid w:val="50641420"/>
    <w:rsid w:val="52132BE4"/>
    <w:rsid w:val="52403870"/>
    <w:rsid w:val="551A1F54"/>
    <w:rsid w:val="557136B4"/>
    <w:rsid w:val="55DC6B15"/>
    <w:rsid w:val="57544678"/>
    <w:rsid w:val="57B22DF4"/>
    <w:rsid w:val="597A702C"/>
    <w:rsid w:val="5A5C06A1"/>
    <w:rsid w:val="5C3D4238"/>
    <w:rsid w:val="5D044291"/>
    <w:rsid w:val="5D177354"/>
    <w:rsid w:val="5D61637D"/>
    <w:rsid w:val="5D7F6400"/>
    <w:rsid w:val="5EBD5725"/>
    <w:rsid w:val="5ECA36AB"/>
    <w:rsid w:val="5F01496B"/>
    <w:rsid w:val="5F13557E"/>
    <w:rsid w:val="5F303939"/>
    <w:rsid w:val="60042BED"/>
    <w:rsid w:val="60513740"/>
    <w:rsid w:val="60D2502E"/>
    <w:rsid w:val="61046EB8"/>
    <w:rsid w:val="629D6729"/>
    <w:rsid w:val="63FC1E6A"/>
    <w:rsid w:val="651269E6"/>
    <w:rsid w:val="65850C1C"/>
    <w:rsid w:val="683F1DAD"/>
    <w:rsid w:val="6859461B"/>
    <w:rsid w:val="68774376"/>
    <w:rsid w:val="69162D12"/>
    <w:rsid w:val="69BC3805"/>
    <w:rsid w:val="6A4E125A"/>
    <w:rsid w:val="6B660B11"/>
    <w:rsid w:val="6D1E19C3"/>
    <w:rsid w:val="6D6A1CD7"/>
    <w:rsid w:val="6DF5300B"/>
    <w:rsid w:val="6EA91649"/>
    <w:rsid w:val="6F48283E"/>
    <w:rsid w:val="710C7B34"/>
    <w:rsid w:val="7574206A"/>
    <w:rsid w:val="77775443"/>
    <w:rsid w:val="77D16C0D"/>
    <w:rsid w:val="79342CC9"/>
    <w:rsid w:val="796E2EC3"/>
    <w:rsid w:val="79A35364"/>
    <w:rsid w:val="7AB637B3"/>
    <w:rsid w:val="7C2B733A"/>
    <w:rsid w:val="7C466C5F"/>
    <w:rsid w:val="7D6B6698"/>
    <w:rsid w:val="7D7904E5"/>
    <w:rsid w:val="7D883202"/>
    <w:rsid w:val="7DF85192"/>
    <w:rsid w:val="7E897E08"/>
    <w:rsid w:val="7F5A6F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4"/>
    <w:qFormat/>
    <w:uiPriority w:val="0"/>
    <w:pPr>
      <w:ind w:firstLine="420"/>
    </w:pPr>
  </w:style>
  <w:style w:type="paragraph" w:styleId="5">
    <w:name w:val="annotation text"/>
    <w:basedOn w:val="1"/>
    <w:link w:val="28"/>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rPr>
  </w:style>
  <w:style w:type="paragraph" w:styleId="7">
    <w:name w:val="Plain Text"/>
    <w:basedOn w:val="1"/>
    <w:link w:val="31"/>
    <w:qFormat/>
    <w:uiPriority w:val="0"/>
    <w:rPr>
      <w:rFonts w:ascii="宋体" w:hAnsi="Courier New" w:cs="Courier New"/>
      <w:szCs w:val="21"/>
    </w:rPr>
  </w:style>
  <w:style w:type="paragraph" w:styleId="8">
    <w:name w:val="endnote text"/>
    <w:basedOn w:val="1"/>
    <w:link w:val="30"/>
    <w:unhideWhenUsed/>
    <w:qFormat/>
    <w:uiPriority w:val="99"/>
    <w:pPr>
      <w:snapToGrid w:val="0"/>
      <w:jc w:val="left"/>
    </w:pPr>
  </w:style>
  <w:style w:type="paragraph" w:styleId="9">
    <w:name w:val="Balloon Text"/>
    <w:basedOn w:val="1"/>
    <w:link w:val="24"/>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3"/>
    <w:next w:val="2"/>
    <w:unhideWhenUsed/>
    <w:qFormat/>
    <w:uiPriority w:val="39"/>
    <w:pPr>
      <w:widowControl/>
      <w:spacing w:line="440" w:lineRule="exact"/>
      <w:jc w:val="left"/>
    </w:pPr>
    <w:rPr>
      <w:rFonts w:eastAsia="黑体"/>
      <w:b/>
      <w:i w:val="0"/>
      <w:kern w:val="0"/>
      <w:sz w:val="28"/>
    </w:rPr>
  </w:style>
  <w:style w:type="paragraph" w:customStyle="1" w:styleId="13">
    <w:name w:val="引用1"/>
    <w:basedOn w:val="1"/>
    <w:next w:val="1"/>
    <w:link w:val="33"/>
    <w:qFormat/>
    <w:uiPriority w:val="29"/>
    <w:rPr>
      <w:i/>
      <w:iCs/>
      <w:color w:val="000000" w:themeColor="text1"/>
    </w:rPr>
  </w:style>
  <w:style w:type="paragraph" w:styleId="14">
    <w:name w:val="toc 2"/>
    <w:basedOn w:val="13"/>
    <w:next w:val="3"/>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styleId="15">
    <w:name w:val="annotation subject"/>
    <w:basedOn w:val="5"/>
    <w:next w:val="5"/>
    <w:link w:val="35"/>
    <w:unhideWhenUsed/>
    <w:qFormat/>
    <w:uiPriority w:val="99"/>
    <w:rPr>
      <w:b/>
      <w:bCs/>
    </w:rPr>
  </w:style>
  <w:style w:type="character" w:styleId="18">
    <w:name w:val="Strong"/>
    <w:qFormat/>
    <w:uiPriority w:val="22"/>
    <w:rPr>
      <w:b/>
    </w:rPr>
  </w:style>
  <w:style w:type="character" w:styleId="19">
    <w:name w:val="endnote reference"/>
    <w:basedOn w:val="17"/>
    <w:unhideWhenUsed/>
    <w:qFormat/>
    <w:uiPriority w:val="99"/>
    <w:rPr>
      <w:vertAlign w:val="superscript"/>
    </w:rPr>
  </w:style>
  <w:style w:type="character" w:styleId="20">
    <w:name w:val="Hyperlink"/>
    <w:basedOn w:val="17"/>
    <w:unhideWhenUsed/>
    <w:qFormat/>
    <w:uiPriority w:val="99"/>
    <w:rPr>
      <w:color w:val="0000FF" w:themeColor="hyperlink"/>
      <w:u w:val="single"/>
    </w:rPr>
  </w:style>
  <w:style w:type="character" w:styleId="21">
    <w:name w:val="annotation reference"/>
    <w:qFormat/>
    <w:uiPriority w:val="99"/>
    <w:rPr>
      <w:sz w:val="21"/>
    </w:rPr>
  </w:style>
  <w:style w:type="character" w:customStyle="1" w:styleId="22">
    <w:name w:val="页眉 Char"/>
    <w:basedOn w:val="17"/>
    <w:link w:val="11"/>
    <w:qFormat/>
    <w:uiPriority w:val="99"/>
    <w:rPr>
      <w:sz w:val="18"/>
      <w:szCs w:val="18"/>
    </w:rPr>
  </w:style>
  <w:style w:type="character" w:customStyle="1" w:styleId="23">
    <w:name w:val="页脚 Char"/>
    <w:basedOn w:val="17"/>
    <w:link w:val="10"/>
    <w:qFormat/>
    <w:uiPriority w:val="99"/>
    <w:rPr>
      <w:sz w:val="18"/>
      <w:szCs w:val="18"/>
    </w:rPr>
  </w:style>
  <w:style w:type="character" w:customStyle="1" w:styleId="24">
    <w:name w:val="批注框文本 Char"/>
    <w:basedOn w:val="17"/>
    <w:link w:val="9"/>
    <w:semiHidden/>
    <w:qFormat/>
    <w:uiPriority w:val="99"/>
    <w:rPr>
      <w:sz w:val="18"/>
      <w:szCs w:val="18"/>
    </w:rPr>
  </w:style>
  <w:style w:type="paragraph" w:customStyle="1" w:styleId="25">
    <w:name w:val="列出段落1"/>
    <w:basedOn w:val="1"/>
    <w:qFormat/>
    <w:uiPriority w:val="34"/>
    <w:pPr>
      <w:ind w:firstLine="420" w:firstLineChars="200"/>
    </w:pPr>
  </w:style>
  <w:style w:type="character" w:customStyle="1" w:styleId="26">
    <w:name w:val="标题 1 Char"/>
    <w:basedOn w:val="17"/>
    <w:link w:val="2"/>
    <w:qFormat/>
    <w:uiPriority w:val="9"/>
    <w:rPr>
      <w:b/>
      <w:bCs/>
      <w:kern w:val="44"/>
      <w:sz w:val="44"/>
      <w:szCs w:val="44"/>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文字 Char"/>
    <w:basedOn w:val="17"/>
    <w:link w:val="5"/>
    <w:qFormat/>
    <w:uiPriority w:val="99"/>
  </w:style>
  <w:style w:type="character" w:customStyle="1" w:styleId="29">
    <w:name w:val="标题 2 Char"/>
    <w:basedOn w:val="17"/>
    <w:link w:val="3"/>
    <w:qFormat/>
    <w:uiPriority w:val="9"/>
    <w:rPr>
      <w:rFonts w:asciiTheme="majorHAnsi" w:hAnsiTheme="majorHAnsi" w:eastAsiaTheme="majorEastAsia" w:cstheme="majorBidi"/>
      <w:b/>
      <w:bCs/>
      <w:sz w:val="32"/>
      <w:szCs w:val="32"/>
    </w:rPr>
  </w:style>
  <w:style w:type="character" w:customStyle="1" w:styleId="30">
    <w:name w:val="尾注文本 Char"/>
    <w:basedOn w:val="17"/>
    <w:link w:val="8"/>
    <w:semiHidden/>
    <w:qFormat/>
    <w:uiPriority w:val="99"/>
  </w:style>
  <w:style w:type="character" w:customStyle="1" w:styleId="31">
    <w:name w:val="纯文本 Char"/>
    <w:link w:val="7"/>
    <w:qFormat/>
    <w:uiPriority w:val="0"/>
    <w:rPr>
      <w:rFonts w:ascii="宋体" w:hAnsi="Courier New" w:cs="Courier New"/>
      <w:szCs w:val="21"/>
    </w:rPr>
  </w:style>
  <w:style w:type="character" w:customStyle="1" w:styleId="32">
    <w:name w:val="纯文本 Char1"/>
    <w:basedOn w:val="17"/>
    <w:semiHidden/>
    <w:qFormat/>
    <w:uiPriority w:val="99"/>
    <w:rPr>
      <w:rFonts w:ascii="宋体" w:hAnsi="Courier New" w:eastAsia="宋体" w:cs="Courier New"/>
      <w:szCs w:val="21"/>
    </w:rPr>
  </w:style>
  <w:style w:type="character" w:customStyle="1" w:styleId="33">
    <w:name w:val="引用 Char"/>
    <w:basedOn w:val="17"/>
    <w:link w:val="13"/>
    <w:qFormat/>
    <w:uiPriority w:val="29"/>
    <w:rPr>
      <w:i/>
      <w:iCs/>
      <w:color w:val="000000" w:themeColor="text1"/>
    </w:rPr>
  </w:style>
  <w:style w:type="character" w:customStyle="1" w:styleId="34">
    <w:name w:val="正文缩进 Char"/>
    <w:link w:val="4"/>
    <w:qFormat/>
    <w:uiPriority w:val="0"/>
  </w:style>
  <w:style w:type="character" w:customStyle="1" w:styleId="35">
    <w:name w:val="批注主题 Char"/>
    <w:basedOn w:val="28"/>
    <w:link w:val="15"/>
    <w:semiHidden/>
    <w:qFormat/>
    <w:uiPriority w:val="99"/>
    <w:rPr>
      <w:b/>
      <w:bCs/>
    </w:rPr>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666C5C-FE52-4B2E-983E-502B9569760C}">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63</Pages>
  <Words>5177</Words>
  <Characters>29511</Characters>
  <Lines>245</Lines>
  <Paragraphs>69</Paragraphs>
  <TotalTime>10</TotalTime>
  <ScaleCrop>false</ScaleCrop>
  <LinksUpToDate>false</LinksUpToDate>
  <CharactersWithSpaces>34619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2017-10-17T08:19:00Z</dcterms:created>
  <dc:creator>502-2</dc:creator>
  <cp:lastModifiedBy>樂₋ෆ</cp:lastModifiedBy>
  <cp:lastPrinted>2020-09-09T02:50:00Z</cp:lastPrinted>
  <dcterms:modified xsi:type="dcterms:W3CDTF">2020-10-10T05:23:21Z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