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pStyle w:val="9"/>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rFonts w:hint="default" w:eastAsiaTheme="minorEastAsia"/>
          <w:bCs/>
          <w:color w:val="000000" w:themeColor="text1"/>
          <w:sz w:val="32"/>
          <w:szCs w:val="32"/>
          <w:u w:val="single"/>
          <w:lang w:val="en-US" w:eastAsia="zh-CN"/>
        </w:rPr>
      </w:pPr>
      <w:r>
        <w:rPr>
          <w:rFonts w:hint="eastAsia"/>
          <w:bCs/>
          <w:color w:val="000000" w:themeColor="text1"/>
          <w:sz w:val="32"/>
          <w:szCs w:val="32"/>
        </w:rPr>
        <w:t>项目编号：</w:t>
      </w:r>
      <w:r>
        <w:rPr>
          <w:rFonts w:hint="eastAsia"/>
          <w:bCs/>
          <w:color w:val="000000"/>
          <w:sz w:val="32"/>
          <w:szCs w:val="32"/>
          <w:u w:val="single"/>
          <w:lang w:val="en-US" w:eastAsia="zh-CN"/>
        </w:rPr>
        <w:t xml:space="preserve">131-2020CG-162     </w:t>
      </w:r>
    </w:p>
    <w:p>
      <w:pPr>
        <w:spacing w:line="480" w:lineRule="auto"/>
        <w:ind w:firstLine="1600" w:firstLineChars="500"/>
        <w:rPr>
          <w:bCs/>
          <w:color w:val="000000" w:themeColor="text1"/>
          <w:sz w:val="32"/>
          <w:szCs w:val="32"/>
          <w:u w:val="single"/>
        </w:rPr>
      </w:pPr>
      <w:r>
        <w:rPr>
          <w:rFonts w:hint="eastAsia"/>
          <w:bCs/>
          <w:color w:val="000000" w:themeColor="text1"/>
          <w:sz w:val="32"/>
          <w:szCs w:val="32"/>
        </w:rPr>
        <w:t>采 购 人：</w:t>
      </w:r>
      <w:r>
        <w:rPr>
          <w:rFonts w:hint="eastAsia"/>
          <w:bCs/>
          <w:color w:val="000000" w:themeColor="text1"/>
          <w:sz w:val="32"/>
          <w:szCs w:val="32"/>
          <w:u w:val="single"/>
        </w:rPr>
        <w:t>阳新县人民医院</w:t>
      </w:r>
    </w:p>
    <w:p>
      <w:pPr>
        <w:spacing w:line="480" w:lineRule="auto"/>
        <w:ind w:left="3156" w:leftChars="761" w:hanging="1558" w:hangingChars="487"/>
        <w:rPr>
          <w:rFonts w:hint="eastAsia" w:eastAsiaTheme="minorEastAsia"/>
          <w:bCs/>
          <w:color w:val="000000" w:themeColor="text1"/>
          <w:sz w:val="30"/>
          <w:szCs w:val="30"/>
          <w:u w:val="single"/>
          <w:lang w:eastAsia="zh-CN"/>
        </w:rPr>
      </w:pPr>
      <w:r>
        <w:rPr>
          <w:rFonts w:hint="eastAsia"/>
          <w:bCs/>
          <w:color w:val="000000" w:themeColor="text1"/>
          <w:sz w:val="32"/>
          <w:szCs w:val="32"/>
        </w:rPr>
        <w:t>项目名称：</w:t>
      </w:r>
      <w:bookmarkStart w:id="273" w:name="_GoBack"/>
      <w:r>
        <w:rPr>
          <w:rFonts w:hint="eastAsia" w:eastAsiaTheme="minorEastAsia"/>
          <w:bCs/>
          <w:color w:val="000000" w:themeColor="text1"/>
          <w:spacing w:val="-6"/>
          <w:sz w:val="30"/>
          <w:szCs w:val="30"/>
          <w:u w:val="single"/>
          <w:lang w:eastAsia="zh-CN"/>
        </w:rPr>
        <w:t>阳新县人民医院彩色多普勒超声诊断系统采购项目</w:t>
      </w:r>
      <w:bookmarkEnd w:id="273"/>
    </w:p>
    <w:p>
      <w:pPr>
        <w:spacing w:line="480" w:lineRule="auto"/>
        <w:ind w:firstLine="1600" w:firstLineChars="500"/>
        <w:rPr>
          <w:rFonts w:hint="eastAsia" w:eastAsiaTheme="minorEastAsia"/>
          <w:bCs/>
          <w:color w:val="000000" w:themeColor="text1"/>
          <w:sz w:val="32"/>
          <w:szCs w:val="32"/>
          <w:u w:val="single"/>
          <w:lang w:eastAsia="zh-CN"/>
        </w:rPr>
      </w:pPr>
      <w:r>
        <w:rPr>
          <w:rFonts w:hint="eastAsia"/>
          <w:bCs/>
          <w:color w:val="000000" w:themeColor="text1"/>
          <w:sz w:val="32"/>
          <w:szCs w:val="32"/>
        </w:rPr>
        <w:t>采购内容：</w:t>
      </w:r>
      <w:r>
        <w:rPr>
          <w:rFonts w:hint="eastAsia" w:eastAsiaTheme="minorEastAsia"/>
          <w:bCs/>
          <w:color w:val="000000" w:themeColor="text1"/>
          <w:spacing w:val="-6"/>
          <w:sz w:val="30"/>
          <w:szCs w:val="30"/>
          <w:u w:val="single"/>
          <w:lang w:eastAsia="zh-CN"/>
        </w:rPr>
        <w:t>彩色多普勒超声诊断系统</w:t>
      </w:r>
    </w:p>
    <w:p>
      <w:pPr>
        <w:spacing w:line="360" w:lineRule="auto"/>
        <w:ind w:left="2052" w:leftChars="619" w:right="1306" w:rightChars="622" w:hanging="752" w:hangingChars="209"/>
        <w:rPr>
          <w:rFonts w:ascii="宋体" w:hAnsi="宋体" w:eastAsia="宋体" w:cs="Times New Roman"/>
          <w:sz w:val="36"/>
          <w:szCs w:val="36"/>
        </w:rPr>
      </w:pPr>
    </w:p>
    <w:p>
      <w:pPr>
        <w:pStyle w:val="2"/>
      </w:pPr>
    </w:p>
    <w:p>
      <w:pPr>
        <w:adjustRightInd w:val="0"/>
        <w:snapToGrid w:val="0"/>
        <w:jc w:val="center"/>
        <w:rPr>
          <w:rFonts w:hint="eastAsia"/>
          <w:bCs/>
          <w:snapToGrid w:val="0"/>
          <w:color w:val="000000" w:themeColor="text1"/>
          <w:kern w:val="0"/>
          <w:position w:val="-98"/>
          <w:sz w:val="56"/>
          <w:szCs w:val="56"/>
          <w:lang w:eastAsia="zh-CN"/>
        </w:rPr>
      </w:pPr>
      <w:r>
        <w:rPr>
          <w:rFonts w:hint="eastAsia"/>
          <w:bCs/>
          <w:snapToGrid w:val="0"/>
          <w:color w:val="000000" w:themeColor="text1"/>
          <w:kern w:val="0"/>
          <w:position w:val="-98"/>
          <w:sz w:val="56"/>
          <w:szCs w:val="56"/>
          <w:lang w:eastAsia="zh-CN"/>
        </w:rPr>
        <w:t>深圳群伦项目管理有限公司</w:t>
      </w:r>
    </w:p>
    <w:p>
      <w:pPr>
        <w:adjustRightInd w:val="0"/>
        <w:snapToGrid w:val="0"/>
        <w:jc w:val="center"/>
        <w:rPr>
          <w:rFonts w:hint="default"/>
          <w:bCs/>
          <w:snapToGrid w:val="0"/>
          <w:color w:val="000000" w:themeColor="text1"/>
          <w:kern w:val="0"/>
          <w:position w:val="-98"/>
          <w:sz w:val="56"/>
          <w:szCs w:val="56"/>
          <w:lang w:val="en-US" w:eastAsia="zh-CN"/>
        </w:rPr>
        <w:sectPr>
          <w:headerReference r:id="rId3" w:type="default"/>
          <w:footerReference r:id="rId5" w:type="default"/>
          <w:headerReference r:id="rId4" w:type="even"/>
          <w:footerReference r:id="rId6" w:type="even"/>
          <w:pgSz w:w="11906" w:h="16838"/>
          <w:pgMar w:top="1701" w:right="1191" w:bottom="1134" w:left="1417" w:header="680" w:footer="680" w:gutter="0"/>
          <w:cols w:space="0" w:num="1"/>
          <w:rtlGutter w:val="0"/>
          <w:docGrid w:type="lines" w:linePitch="312" w:charSpace="0"/>
        </w:sectPr>
      </w:pPr>
      <w:r>
        <w:rPr>
          <w:rFonts w:hint="eastAsia"/>
          <w:bCs/>
          <w:snapToGrid w:val="0"/>
          <w:color w:val="000000" w:themeColor="text1"/>
          <w:kern w:val="0"/>
          <w:position w:val="-98"/>
          <w:sz w:val="48"/>
          <w:szCs w:val="48"/>
          <w:lang w:val="en-US" w:eastAsia="zh-CN"/>
        </w:rPr>
        <w:t>二0二0年九月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3"/>
              <w:rFonts w:hint="eastAsia" w:ascii="黑体" w:hAnsi="黑体"/>
            </w:rPr>
            <w:t>第一章</w:t>
          </w:r>
          <w:r>
            <w:rPr>
              <w:rFonts w:eastAsiaTheme="minorEastAsia"/>
              <w:b w:val="0"/>
              <w:iCs w:val="0"/>
              <w:color w:val="auto"/>
              <w:kern w:val="2"/>
              <w:sz w:val="21"/>
            </w:rPr>
            <w:tab/>
          </w:r>
          <w:r>
            <w:rPr>
              <w:rStyle w:val="23"/>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3"/>
              <w:rFonts w:hint="eastAsia" w:ascii="黑体" w:hAnsi="黑体"/>
            </w:rPr>
            <w:t>第二章</w:t>
          </w:r>
          <w:r>
            <w:rPr>
              <w:rFonts w:eastAsiaTheme="minorEastAsia"/>
              <w:b w:val="0"/>
              <w:iCs w:val="0"/>
              <w:color w:val="auto"/>
              <w:kern w:val="2"/>
              <w:sz w:val="21"/>
            </w:rPr>
            <w:tab/>
          </w:r>
          <w:r>
            <w:rPr>
              <w:rStyle w:val="23"/>
              <w:rFonts w:hint="eastAsia" w:ascii="黑体" w:hAnsi="黑体"/>
            </w:rPr>
            <w:t>投标人须知</w:t>
          </w:r>
          <w:r>
            <w:tab/>
          </w:r>
          <w:r>
            <w:fldChar w:fldCharType="begin"/>
          </w:r>
          <w:r>
            <w:instrText xml:space="preserve"> PAGEREF _Toc495861518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"_Toc495861519" </w:instrText>
          </w:r>
          <w:r>
            <w:fldChar w:fldCharType="separate"/>
          </w:r>
          <w:r>
            <w:rPr>
              <w:rStyle w:val="23"/>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"_Toc495861520" </w:instrText>
          </w:r>
          <w:r>
            <w:fldChar w:fldCharType="separate"/>
          </w:r>
          <w:r>
            <w:rPr>
              <w:rStyle w:val="23"/>
              <w:rFonts w:hint="eastAsia" w:cs="Times New Roman" w:asciiTheme="majorEastAsia" w:hAnsiTheme="majorEastAsia"/>
              <w:lang w:val="zh-CN"/>
            </w:rPr>
            <w:t>一、</w:t>
          </w:r>
          <w:r>
            <w:rPr>
              <w:rFonts w:asciiTheme="minorHAnsi" w:hAnsiTheme="minorHAnsi"/>
              <w:iCs w:val="0"/>
              <w:color w:val="auto"/>
              <w:kern w:val="2"/>
              <w:sz w:val="21"/>
            </w:rPr>
            <w:tab/>
          </w:r>
          <w:r>
            <w:rPr>
              <w:rStyle w:val="23"/>
              <w:rFonts w:hint="eastAsia" w:cs="Times New Roman" w:asciiTheme="majorEastAsia" w:hAnsiTheme="majorEastAsia"/>
              <w:lang w:val="zh-CN"/>
            </w:rPr>
            <w:t>说明</w:t>
          </w:r>
          <w:r>
            <w:tab/>
          </w:r>
          <w:r>
            <w:t>……………………………………………………………………………………</w:t>
          </w:r>
          <w:r>
            <w:rPr>
              <w:rFonts w:hint="eastAsia"/>
            </w:rPr>
            <w:t>.</w:t>
          </w:r>
          <w:r>
            <w:fldChar w:fldCharType="begin"/>
          </w:r>
          <w:r>
            <w:instrText xml:space="preserve"> PAGEREF _Toc495861520 \h </w:instrText>
          </w:r>
          <w:r>
            <w:fldChar w:fldCharType="separate"/>
          </w:r>
          <w:r>
            <w:t>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"_Toc495861521" </w:instrText>
          </w:r>
          <w:r>
            <w:fldChar w:fldCharType="separate"/>
          </w:r>
          <w:r>
            <w:rPr>
              <w:rStyle w:val="23"/>
              <w:rFonts w:hint="eastAsia" w:cs="Times New Roman" w:asciiTheme="majorEastAsia" w:hAnsiTheme="majorEastAsia"/>
              <w:lang w:val="zh-CN"/>
            </w:rPr>
            <w:t>二、</w:t>
          </w:r>
          <w:r>
            <w:rPr>
              <w:rFonts w:asciiTheme="minorHAnsi" w:hAnsiTheme="minorHAnsi"/>
              <w:iCs w:val="0"/>
              <w:color w:val="auto"/>
              <w:kern w:val="2"/>
              <w:sz w:val="21"/>
            </w:rPr>
            <w:tab/>
          </w:r>
          <w:r>
            <w:rPr>
              <w:rStyle w:val="23"/>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"_Toc495861522" </w:instrText>
          </w:r>
          <w:r>
            <w:fldChar w:fldCharType="separate"/>
          </w:r>
          <w:r>
            <w:rPr>
              <w:rStyle w:val="23"/>
              <w:rFonts w:hint="eastAsia" w:cs="Times New Roman" w:asciiTheme="majorEastAsia" w:hAnsiTheme="majorEastAsia"/>
              <w:lang w:val="zh-CN"/>
            </w:rPr>
            <w:t>三、</w:t>
          </w:r>
          <w:r>
            <w:rPr>
              <w:rFonts w:asciiTheme="minorHAnsi" w:hAnsiTheme="minorHAnsi"/>
              <w:iCs w:val="0"/>
              <w:color w:val="auto"/>
              <w:kern w:val="2"/>
              <w:sz w:val="21"/>
            </w:rPr>
            <w:tab/>
          </w:r>
          <w:r>
            <w:rPr>
              <w:rStyle w:val="23"/>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"_Toc495861523" </w:instrText>
          </w:r>
          <w:r>
            <w:fldChar w:fldCharType="separate"/>
          </w:r>
          <w:r>
            <w:rPr>
              <w:rStyle w:val="23"/>
              <w:rFonts w:hint="eastAsia" w:cs="Times New Roman" w:asciiTheme="majorEastAsia" w:hAnsiTheme="majorEastAsia"/>
              <w:lang w:val="zh-CN"/>
            </w:rPr>
            <w:t>四、</w:t>
          </w:r>
          <w:r>
            <w:rPr>
              <w:rFonts w:asciiTheme="minorHAnsi" w:hAnsiTheme="minorHAnsi"/>
              <w:iCs w:val="0"/>
              <w:color w:val="auto"/>
              <w:kern w:val="2"/>
              <w:sz w:val="21"/>
            </w:rPr>
            <w:tab/>
          </w:r>
          <w:r>
            <w:rPr>
              <w:rStyle w:val="23"/>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"_Toc495861524" </w:instrText>
          </w:r>
          <w:r>
            <w:fldChar w:fldCharType="separate"/>
          </w:r>
          <w:r>
            <w:rPr>
              <w:rStyle w:val="23"/>
              <w:rFonts w:hint="eastAsia" w:cs="Times New Roman" w:asciiTheme="majorEastAsia" w:hAnsiTheme="majorEastAsia"/>
              <w:lang w:val="zh-CN"/>
            </w:rPr>
            <w:t>五、</w:t>
          </w:r>
          <w:r>
            <w:rPr>
              <w:rFonts w:asciiTheme="minorHAnsi" w:hAnsiTheme="minorHAnsi"/>
              <w:iCs w:val="0"/>
              <w:color w:val="auto"/>
              <w:kern w:val="2"/>
              <w:sz w:val="21"/>
            </w:rPr>
            <w:tab/>
          </w:r>
          <w:r>
            <w:rPr>
              <w:rStyle w:val="23"/>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"_Toc495861525" </w:instrText>
          </w:r>
          <w:r>
            <w:fldChar w:fldCharType="separate"/>
          </w:r>
          <w:r>
            <w:rPr>
              <w:rStyle w:val="23"/>
              <w:rFonts w:hint="eastAsia" w:cs="Times New Roman" w:asciiTheme="majorEastAsia" w:hAnsiTheme="majorEastAsia"/>
              <w:lang w:val="zh-CN"/>
            </w:rPr>
            <w:t>六、</w:t>
          </w:r>
          <w:r>
            <w:rPr>
              <w:rFonts w:asciiTheme="minorHAnsi" w:hAnsiTheme="minorHAnsi"/>
              <w:iCs w:val="0"/>
              <w:color w:val="auto"/>
              <w:kern w:val="2"/>
              <w:sz w:val="21"/>
            </w:rPr>
            <w:tab/>
          </w:r>
          <w:r>
            <w:rPr>
              <w:rStyle w:val="23"/>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"_Toc495861526" </w:instrText>
          </w:r>
          <w:r>
            <w:fldChar w:fldCharType="separate"/>
          </w:r>
          <w:r>
            <w:rPr>
              <w:rStyle w:val="23"/>
              <w:rFonts w:hint="eastAsia" w:cs="Times New Roman" w:asciiTheme="majorEastAsia" w:hAnsiTheme="majorEastAsia"/>
              <w:lang w:val="zh-CN"/>
            </w:rPr>
            <w:t>七、</w:t>
          </w:r>
          <w:r>
            <w:rPr>
              <w:rFonts w:asciiTheme="minorHAnsi" w:hAnsiTheme="minorHAnsi"/>
              <w:iCs w:val="0"/>
              <w:color w:val="auto"/>
              <w:kern w:val="2"/>
              <w:sz w:val="21"/>
            </w:rPr>
            <w:tab/>
          </w:r>
          <w:r>
            <w:rPr>
              <w:rStyle w:val="23"/>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"_Toc495861527" </w:instrText>
          </w:r>
          <w:r>
            <w:fldChar w:fldCharType="separate"/>
          </w:r>
          <w:r>
            <w:rPr>
              <w:rStyle w:val="23"/>
              <w:rFonts w:hint="eastAsia" w:cs="Times New Roman" w:asciiTheme="majorEastAsia" w:hAnsiTheme="majorEastAsia"/>
              <w:lang w:val="zh-CN"/>
            </w:rPr>
            <w:t>八、</w:t>
          </w:r>
          <w:r>
            <w:rPr>
              <w:rFonts w:asciiTheme="minorHAnsi" w:hAnsiTheme="minorHAnsi"/>
              <w:iCs w:val="0"/>
              <w:color w:val="auto"/>
              <w:kern w:val="2"/>
              <w:sz w:val="21"/>
            </w:rPr>
            <w:tab/>
          </w:r>
          <w:r>
            <w:rPr>
              <w:rStyle w:val="23"/>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"_Toc495861528" </w:instrText>
          </w:r>
          <w:r>
            <w:fldChar w:fldCharType="separate"/>
          </w:r>
          <w:r>
            <w:rPr>
              <w:rStyle w:val="23"/>
              <w:rFonts w:hint="eastAsia" w:cs="Times New Roman" w:asciiTheme="majorEastAsia" w:hAnsiTheme="majorEastAsia"/>
              <w:lang w:val="zh-CN"/>
            </w:rPr>
            <w:t>九、</w:t>
          </w:r>
          <w:r>
            <w:rPr>
              <w:rFonts w:asciiTheme="minorHAnsi" w:hAnsiTheme="minorHAnsi"/>
              <w:iCs w:val="0"/>
              <w:color w:val="auto"/>
              <w:kern w:val="2"/>
              <w:sz w:val="21"/>
            </w:rPr>
            <w:tab/>
          </w:r>
          <w:r>
            <w:rPr>
              <w:rStyle w:val="23"/>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"_Toc495861529" </w:instrText>
          </w:r>
          <w:r>
            <w:fldChar w:fldCharType="separate"/>
          </w:r>
          <w:r>
            <w:rPr>
              <w:rStyle w:val="23"/>
              <w:rFonts w:hint="eastAsia" w:cs="Times New Roman" w:asciiTheme="majorEastAsia" w:hAnsiTheme="majorEastAsia"/>
              <w:lang w:val="zh-CN"/>
            </w:rPr>
            <w:t>十、</w:t>
          </w:r>
          <w:r>
            <w:rPr>
              <w:rFonts w:asciiTheme="minorHAnsi" w:hAnsiTheme="minorHAnsi"/>
              <w:iCs w:val="0"/>
              <w:color w:val="auto"/>
              <w:kern w:val="2"/>
              <w:sz w:val="21"/>
            </w:rPr>
            <w:tab/>
          </w:r>
          <w:r>
            <w:rPr>
              <w:rStyle w:val="23"/>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"_Toc495861530" </w:instrText>
          </w:r>
          <w:r>
            <w:fldChar w:fldCharType="separate"/>
          </w:r>
          <w:r>
            <w:rPr>
              <w:rStyle w:val="23"/>
              <w:rFonts w:hint="eastAsia" w:cs="Times New Roman" w:asciiTheme="majorEastAsia" w:hAnsiTheme="majorEastAsia"/>
              <w:lang w:val="zh-CN"/>
            </w:rPr>
            <w:t>十一、</w:t>
          </w:r>
          <w:r>
            <w:rPr>
              <w:rFonts w:asciiTheme="minorHAnsi" w:hAnsiTheme="minorHAnsi"/>
              <w:iCs w:val="0"/>
              <w:color w:val="auto"/>
              <w:kern w:val="2"/>
              <w:sz w:val="21"/>
            </w:rPr>
            <w:tab/>
          </w:r>
          <w:r>
            <w:rPr>
              <w:rStyle w:val="23"/>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"_Toc495861531" </w:instrText>
          </w:r>
          <w:r>
            <w:fldChar w:fldCharType="separate"/>
          </w:r>
          <w:r>
            <w:rPr>
              <w:rStyle w:val="23"/>
              <w:rFonts w:hint="eastAsia" w:cs="Times New Roman" w:asciiTheme="majorEastAsia" w:hAnsiTheme="majorEastAsia"/>
              <w:lang w:val="zh-CN"/>
            </w:rPr>
            <w:t>十二、</w:t>
          </w:r>
          <w:r>
            <w:rPr>
              <w:rFonts w:asciiTheme="minorHAnsi" w:hAnsiTheme="minorHAnsi"/>
              <w:iCs w:val="0"/>
              <w:color w:val="auto"/>
              <w:kern w:val="2"/>
              <w:sz w:val="21"/>
            </w:rPr>
            <w:tab/>
          </w:r>
          <w:r>
            <w:rPr>
              <w:rStyle w:val="23"/>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19</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3"/>
              <w:rFonts w:hint="eastAsia" w:ascii="黑体" w:hAnsi="黑体"/>
            </w:rPr>
            <w:t>第三章</w:t>
          </w:r>
          <w:r>
            <w:rPr>
              <w:rFonts w:eastAsiaTheme="minorEastAsia"/>
              <w:b w:val="0"/>
              <w:iCs w:val="0"/>
              <w:color w:val="auto"/>
              <w:kern w:val="2"/>
              <w:sz w:val="21"/>
            </w:rPr>
            <w:tab/>
          </w:r>
          <w:r>
            <w:rPr>
              <w:rStyle w:val="23"/>
              <w:rFonts w:hint="eastAsia" w:ascii="黑体" w:hAnsi="黑体"/>
            </w:rPr>
            <w:t>项目技术、服务及商务要求</w:t>
          </w:r>
          <w:r>
            <w:tab/>
          </w:r>
          <w:r>
            <w:fldChar w:fldCharType="begin"/>
          </w:r>
          <w:r>
            <w:instrText xml:space="preserve"> PAGEREF _Toc495861532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"_Toc495861533" </w:instrText>
          </w:r>
          <w:r>
            <w:fldChar w:fldCharType="separate"/>
          </w:r>
          <w:r>
            <w:rPr>
              <w:rStyle w:val="23"/>
              <w:rFonts w:hint="eastAsia" w:cs="Times New Roman" w:asciiTheme="majorEastAsia" w:hAnsiTheme="majorEastAsia"/>
              <w:lang w:val="zh-CN"/>
            </w:rPr>
            <w:t>一、</w:t>
          </w:r>
          <w:r>
            <w:rPr>
              <w:rFonts w:asciiTheme="minorHAnsi" w:hAnsiTheme="minorHAnsi"/>
              <w:iCs w:val="0"/>
              <w:color w:val="auto"/>
              <w:kern w:val="2"/>
              <w:sz w:val="21"/>
            </w:rPr>
            <w:tab/>
          </w:r>
          <w:r>
            <w:rPr>
              <w:rStyle w:val="23"/>
              <w:rFonts w:hint="eastAsia" w:cs="Times New Roman" w:asciiTheme="majorEastAsia" w:hAnsiTheme="majorEastAsia"/>
              <w:lang w:val="zh-CN"/>
            </w:rPr>
            <w:t>采购清单</w:t>
          </w:r>
          <w:r>
            <w:tab/>
          </w:r>
          <w:r>
            <w:fldChar w:fldCharType="begin"/>
          </w:r>
          <w:r>
            <w:instrText xml:space="preserve"> PAGEREF _Toc495861533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"_Toc495861536" </w:instrText>
          </w:r>
          <w:r>
            <w:fldChar w:fldCharType="separate"/>
          </w:r>
          <w:r>
            <w:rPr>
              <w:rStyle w:val="23"/>
              <w:rFonts w:hint="eastAsia" w:cs="Times New Roman" w:asciiTheme="majorEastAsia" w:hAnsiTheme="majorEastAsia"/>
              <w:lang w:val="zh-CN"/>
            </w:rPr>
            <w:t>二、</w:t>
          </w:r>
          <w:r>
            <w:rPr>
              <w:rFonts w:asciiTheme="minorHAnsi" w:hAnsiTheme="minorHAnsi"/>
              <w:iCs w:val="0"/>
              <w:color w:val="auto"/>
              <w:kern w:val="2"/>
              <w:sz w:val="21"/>
            </w:rPr>
            <w:tab/>
          </w:r>
          <w:r>
            <w:rPr>
              <w:rStyle w:val="23"/>
              <w:rFonts w:hint="eastAsia" w:cs="Times New Roman" w:asciiTheme="majorEastAsia" w:hAnsiTheme="majorEastAsia"/>
              <w:lang w:val="zh-CN"/>
            </w:rPr>
            <w:t>技术、服务要求</w:t>
          </w:r>
          <w:r>
            <w:tab/>
          </w:r>
          <w:r>
            <w:fldChar w:fldCharType="begin"/>
          </w:r>
          <w:r>
            <w:instrText xml:space="preserve"> PAGEREF _Toc495861536 \h </w:instrText>
          </w:r>
          <w:r>
            <w:fldChar w:fldCharType="separate"/>
          </w:r>
          <w:r>
            <w:t>20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"_Toc495861537" </w:instrText>
          </w:r>
          <w:r>
            <w:fldChar w:fldCharType="separate"/>
          </w:r>
          <w:r>
            <w:rPr>
              <w:rStyle w:val="23"/>
              <w:rFonts w:hint="eastAsia" w:cs="Times New Roman" w:asciiTheme="majorEastAsia" w:hAnsiTheme="majorEastAsia"/>
              <w:lang w:val="zh-CN"/>
            </w:rPr>
            <w:t>三、</w:t>
          </w:r>
          <w:r>
            <w:rPr>
              <w:rFonts w:asciiTheme="minorHAnsi" w:hAnsiTheme="minorHAnsi"/>
              <w:iCs w:val="0"/>
              <w:color w:val="auto"/>
              <w:kern w:val="2"/>
              <w:sz w:val="21"/>
            </w:rPr>
            <w:tab/>
          </w:r>
          <w:r>
            <w:rPr>
              <w:rStyle w:val="23"/>
              <w:rFonts w:hint="eastAsia" w:cs="Times New Roman" w:asciiTheme="majorEastAsia" w:hAnsiTheme="majorEastAsia"/>
              <w:lang w:val="zh-CN"/>
            </w:rPr>
            <w:t>商务要求</w:t>
          </w:r>
          <w:r>
            <w:tab/>
          </w:r>
          <w:r>
            <w:fldChar w:fldCharType="begin"/>
          </w:r>
          <w:r>
            <w:instrText xml:space="preserve"> PAGEREF _Toc495861537 \h </w:instrText>
          </w:r>
          <w:r>
            <w:fldChar w:fldCharType="separate"/>
          </w:r>
          <w:r>
            <w:t>24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3"/>
              <w:rFonts w:hint="eastAsia" w:ascii="黑体" w:hAnsi="黑体"/>
            </w:rPr>
            <w:t>第四章</w:t>
          </w:r>
          <w:r>
            <w:rPr>
              <w:rFonts w:eastAsiaTheme="minorEastAsia"/>
              <w:b w:val="0"/>
              <w:iCs w:val="0"/>
              <w:color w:val="auto"/>
              <w:kern w:val="2"/>
              <w:sz w:val="21"/>
            </w:rPr>
            <w:tab/>
          </w:r>
          <w:r>
            <w:rPr>
              <w:rStyle w:val="23"/>
              <w:rFonts w:hint="eastAsia" w:ascii="黑体" w:hAnsi="黑体"/>
            </w:rPr>
            <w:t>资格审查方法及标准</w:t>
          </w:r>
          <w:r>
            <w:tab/>
          </w:r>
          <w:r>
            <w:fldChar w:fldCharType="begin"/>
          </w:r>
          <w:r>
            <w:instrText xml:space="preserve"> PAGEREF _Toc495861538 \h </w:instrText>
          </w:r>
          <w:r>
            <w:fldChar w:fldCharType="separate"/>
          </w:r>
          <w:r>
            <w:t>25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"_Toc495861539" </w:instrText>
          </w:r>
          <w:r>
            <w:fldChar w:fldCharType="separate"/>
          </w:r>
          <w:r>
            <w:rPr>
              <w:rStyle w:val="23"/>
              <w:rFonts w:hint="eastAsia" w:cs="Times New Roman" w:asciiTheme="majorEastAsia" w:hAnsiTheme="majorEastAsia"/>
              <w:lang w:val="zh-CN"/>
            </w:rPr>
            <w:t>一、</w:t>
          </w:r>
          <w:r>
            <w:rPr>
              <w:rFonts w:asciiTheme="minorHAnsi" w:hAnsiTheme="minorHAnsi"/>
              <w:iCs w:val="0"/>
              <w:color w:val="auto"/>
              <w:kern w:val="2"/>
              <w:sz w:val="21"/>
            </w:rPr>
            <w:tab/>
          </w:r>
          <w:r>
            <w:rPr>
              <w:rStyle w:val="23"/>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"_Toc495861540" </w:instrText>
          </w:r>
          <w:r>
            <w:fldChar w:fldCharType="separate"/>
          </w:r>
          <w:r>
            <w:rPr>
              <w:rStyle w:val="23"/>
              <w:rFonts w:hint="eastAsia" w:cs="Times New Roman" w:asciiTheme="majorEastAsia" w:hAnsiTheme="majorEastAsia"/>
              <w:lang w:val="zh-CN"/>
            </w:rPr>
            <w:t>二、</w:t>
          </w:r>
          <w:r>
            <w:rPr>
              <w:rFonts w:asciiTheme="minorHAnsi" w:hAnsiTheme="minorHAnsi"/>
              <w:iCs w:val="0"/>
              <w:color w:val="auto"/>
              <w:kern w:val="2"/>
              <w:sz w:val="21"/>
            </w:rPr>
            <w:tab/>
          </w:r>
          <w:r>
            <w:rPr>
              <w:rStyle w:val="23"/>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25</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3"/>
              <w:rFonts w:hint="eastAsia" w:ascii="黑体" w:hAnsi="黑体"/>
            </w:rPr>
            <w:t>第五章</w:t>
          </w:r>
          <w:r>
            <w:rPr>
              <w:rFonts w:eastAsiaTheme="minorEastAsia"/>
              <w:b w:val="0"/>
              <w:iCs w:val="0"/>
              <w:color w:val="auto"/>
              <w:kern w:val="2"/>
              <w:sz w:val="21"/>
            </w:rPr>
            <w:tab/>
          </w:r>
          <w:r>
            <w:rPr>
              <w:rStyle w:val="23"/>
              <w:rFonts w:hint="eastAsia" w:ascii="黑体" w:hAnsi="黑体"/>
            </w:rPr>
            <w:t>评标方法、程序及标准</w:t>
          </w:r>
          <w:r>
            <w:tab/>
          </w:r>
          <w:r>
            <w:fldChar w:fldCharType="begin"/>
          </w:r>
          <w:r>
            <w:instrText xml:space="preserve"> PAGEREF _Toc495861541 \h </w:instrText>
          </w:r>
          <w:r>
            <w:fldChar w:fldCharType="separate"/>
          </w:r>
          <w:r>
            <w:t>27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"_Toc495861542" </w:instrText>
          </w:r>
          <w:r>
            <w:fldChar w:fldCharType="separate"/>
          </w:r>
          <w:r>
            <w:rPr>
              <w:rStyle w:val="23"/>
              <w:rFonts w:hint="eastAsia" w:cs="Times New Roman" w:asciiTheme="majorEastAsia" w:hAnsiTheme="majorEastAsia"/>
              <w:lang w:val="zh-CN"/>
            </w:rPr>
            <w:t>一、</w:t>
          </w:r>
          <w:r>
            <w:rPr>
              <w:rFonts w:asciiTheme="minorHAnsi" w:hAnsiTheme="minorHAnsi"/>
              <w:iCs w:val="0"/>
              <w:color w:val="auto"/>
              <w:kern w:val="2"/>
              <w:sz w:val="21"/>
            </w:rPr>
            <w:tab/>
          </w:r>
          <w:r>
            <w:rPr>
              <w:rStyle w:val="23"/>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"_Toc495861543" </w:instrText>
          </w:r>
          <w:r>
            <w:fldChar w:fldCharType="separate"/>
          </w:r>
          <w:r>
            <w:rPr>
              <w:rStyle w:val="23"/>
              <w:rFonts w:hint="eastAsia" w:cs="Times New Roman" w:asciiTheme="majorEastAsia" w:hAnsiTheme="majorEastAsia"/>
              <w:lang w:val="zh-CN"/>
            </w:rPr>
            <w:t>二、</w:t>
          </w:r>
          <w:r>
            <w:rPr>
              <w:rFonts w:asciiTheme="minorHAnsi" w:hAnsiTheme="minorHAnsi"/>
              <w:iCs w:val="0"/>
              <w:color w:val="auto"/>
              <w:kern w:val="2"/>
              <w:sz w:val="21"/>
            </w:rPr>
            <w:tab/>
          </w:r>
          <w:r>
            <w:rPr>
              <w:rStyle w:val="23"/>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"_Toc495861544" </w:instrText>
          </w:r>
          <w:r>
            <w:fldChar w:fldCharType="separate"/>
          </w:r>
          <w:r>
            <w:rPr>
              <w:rStyle w:val="23"/>
              <w:rFonts w:hint="eastAsia" w:cs="Times New Roman" w:asciiTheme="majorEastAsia" w:hAnsiTheme="majorEastAsia"/>
              <w:lang w:val="zh-CN"/>
            </w:rPr>
            <w:t>三、</w:t>
          </w:r>
          <w:r>
            <w:rPr>
              <w:rFonts w:asciiTheme="minorHAnsi" w:hAnsiTheme="minorHAnsi"/>
              <w:iCs w:val="0"/>
              <w:color w:val="auto"/>
              <w:kern w:val="2"/>
              <w:sz w:val="21"/>
            </w:rPr>
            <w:tab/>
          </w:r>
          <w:r>
            <w:rPr>
              <w:rStyle w:val="23"/>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30</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3"/>
              <w:rFonts w:hint="eastAsia" w:ascii="黑体" w:hAnsi="黑体"/>
            </w:rPr>
            <w:t>第六章</w:t>
          </w:r>
          <w:r>
            <w:rPr>
              <w:rFonts w:eastAsiaTheme="minorEastAsia"/>
              <w:b w:val="0"/>
              <w:iCs w:val="0"/>
              <w:color w:val="auto"/>
              <w:kern w:val="2"/>
              <w:sz w:val="21"/>
            </w:rPr>
            <w:tab/>
          </w:r>
          <w:r>
            <w:rPr>
              <w:rStyle w:val="23"/>
              <w:rFonts w:hint="eastAsia" w:ascii="黑体" w:hAnsi="黑体"/>
            </w:rPr>
            <w:t>合同书格式（参考）</w:t>
          </w:r>
          <w:r>
            <w:tab/>
          </w:r>
          <w:r>
            <w:fldChar w:fldCharType="begin"/>
          </w:r>
          <w:r>
            <w:instrText xml:space="preserve"> PAGEREF _Toc495861545 \h </w:instrText>
          </w:r>
          <w:r>
            <w:fldChar w:fldCharType="separate"/>
          </w:r>
          <w:r>
            <w:t>32</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3"/>
              <w:rFonts w:hint="eastAsia" w:ascii="黑体" w:hAnsi="黑体"/>
            </w:rPr>
            <w:t>第七章</w:t>
          </w:r>
          <w:r>
            <w:rPr>
              <w:rFonts w:eastAsiaTheme="minorEastAsia"/>
              <w:b w:val="0"/>
              <w:iCs w:val="0"/>
              <w:color w:val="auto"/>
              <w:kern w:val="2"/>
              <w:sz w:val="21"/>
            </w:rPr>
            <w:tab/>
          </w:r>
          <w:r>
            <w:rPr>
              <w:rStyle w:val="23"/>
              <w:rFonts w:hint="eastAsia" w:ascii="黑体" w:hAnsi="黑体"/>
            </w:rPr>
            <w:t>投标文件格式（参考）</w:t>
          </w:r>
          <w:r>
            <w:tab/>
          </w:r>
          <w:r>
            <w:fldChar w:fldCharType="begin"/>
          </w:r>
          <w:r>
            <w:instrText xml:space="preserve"> PAGEREF _Toc495861546 \h </w:instrText>
          </w:r>
          <w:r>
            <w:fldChar w:fldCharType="separate"/>
          </w:r>
          <w:r>
            <w:t>34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"_Toc495861547" </w:instrText>
          </w:r>
          <w:r>
            <w:fldChar w:fldCharType="separate"/>
          </w:r>
          <w:r>
            <w:rPr>
              <w:rStyle w:val="23"/>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"_Toc495861548" </w:instrText>
          </w:r>
          <w:r>
            <w:fldChar w:fldCharType="separate"/>
          </w:r>
          <w:r>
            <w:rPr>
              <w:rStyle w:val="23"/>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"_Toc495861549" </w:instrText>
          </w:r>
          <w:r>
            <w:fldChar w:fldCharType="separate"/>
          </w:r>
          <w:r>
            <w:rPr>
              <w:rStyle w:val="23"/>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"_Toc495861550" </w:instrText>
          </w:r>
          <w:r>
            <w:fldChar w:fldCharType="separate"/>
          </w:r>
          <w:r>
            <w:rPr>
              <w:rStyle w:val="23"/>
              <w:rFonts w:hint="eastAsia" w:eastAsia="宋体"/>
            </w:rPr>
            <w:t>附件一、</w:t>
          </w:r>
          <w:r>
            <w:rPr>
              <w:rFonts w:asciiTheme="minorHAnsi" w:hAnsiTheme="minorHAnsi"/>
              <w:iCs w:val="0"/>
              <w:color w:val="auto"/>
              <w:kern w:val="2"/>
              <w:sz w:val="21"/>
            </w:rPr>
            <w:tab/>
          </w:r>
          <w:r>
            <w:rPr>
              <w:rStyle w:val="23"/>
              <w:rFonts w:hint="eastAsia" w:eastAsia="宋体"/>
            </w:rPr>
            <w:t>投标书</w:t>
          </w:r>
          <w:r>
            <w:tab/>
          </w:r>
          <w:r>
            <w:fldChar w:fldCharType="begin"/>
          </w:r>
          <w:r>
            <w:instrText xml:space="preserve"> PAGEREF _Toc495861550 \h </w:instrText>
          </w:r>
          <w:r>
            <w:fldChar w:fldCharType="separate"/>
          </w:r>
          <w:r>
            <w:t>40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"_Toc495861551" </w:instrText>
          </w:r>
          <w:r>
            <w:fldChar w:fldCharType="separate"/>
          </w:r>
          <w:r>
            <w:rPr>
              <w:rStyle w:val="23"/>
              <w:rFonts w:hint="eastAsia" w:eastAsia="宋体"/>
            </w:rPr>
            <w:t>附件二、</w:t>
          </w:r>
          <w:r>
            <w:rPr>
              <w:rFonts w:asciiTheme="minorHAnsi" w:hAnsiTheme="minorHAnsi"/>
              <w:iCs w:val="0"/>
              <w:color w:val="auto"/>
              <w:kern w:val="2"/>
              <w:sz w:val="21"/>
            </w:rPr>
            <w:tab/>
          </w:r>
          <w:r>
            <w:rPr>
              <w:rStyle w:val="23"/>
              <w:rFonts w:hint="eastAsia" w:eastAsia="宋体"/>
            </w:rPr>
            <w:t>制造商中小企业声明函</w:t>
          </w:r>
          <w:r>
            <w:tab/>
          </w:r>
          <w:r>
            <w:fldChar w:fldCharType="begin"/>
          </w:r>
          <w:r>
            <w:instrText xml:space="preserve"> PAGEREF _Toc495861551 \h </w:instrText>
          </w:r>
          <w:r>
            <w:fldChar w:fldCharType="separate"/>
          </w:r>
          <w:r>
            <w:t>41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"_Toc495861552" </w:instrText>
          </w:r>
          <w:r>
            <w:fldChar w:fldCharType="separate"/>
          </w:r>
          <w:r>
            <w:rPr>
              <w:rStyle w:val="23"/>
              <w:rFonts w:hint="eastAsia" w:eastAsia="宋体"/>
            </w:rPr>
            <w:t>附件三、</w:t>
          </w:r>
          <w:r>
            <w:rPr>
              <w:rFonts w:asciiTheme="minorHAnsi" w:hAnsiTheme="minorHAnsi"/>
              <w:iCs w:val="0"/>
              <w:color w:val="auto"/>
              <w:kern w:val="2"/>
              <w:sz w:val="21"/>
            </w:rPr>
            <w:tab/>
          </w:r>
          <w:r>
            <w:rPr>
              <w:rStyle w:val="23"/>
              <w:rFonts w:hint="eastAsia" w:eastAsia="宋体"/>
            </w:rPr>
            <w:t>中小企业声明函</w:t>
          </w:r>
          <w:r>
            <w:tab/>
          </w:r>
          <w:r>
            <w:fldChar w:fldCharType="begin"/>
          </w:r>
          <w:r>
            <w:instrText xml:space="preserve"> PAGEREF _Toc495861552 \h </w:instrText>
          </w:r>
          <w:r>
            <w:fldChar w:fldCharType="separate"/>
          </w:r>
          <w:r>
            <w:t>42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"_Toc495861553" </w:instrText>
          </w:r>
          <w:r>
            <w:fldChar w:fldCharType="separate"/>
          </w:r>
          <w:r>
            <w:rPr>
              <w:rStyle w:val="23"/>
              <w:rFonts w:hint="eastAsia" w:eastAsia="宋体"/>
            </w:rPr>
            <w:t>附件四、</w:t>
          </w:r>
          <w:r>
            <w:rPr>
              <w:rFonts w:asciiTheme="minorHAnsi" w:hAnsiTheme="minorHAnsi"/>
              <w:iCs w:val="0"/>
              <w:color w:val="auto"/>
              <w:kern w:val="2"/>
              <w:sz w:val="21"/>
            </w:rPr>
            <w:tab/>
          </w:r>
          <w:r>
            <w:rPr>
              <w:rStyle w:val="23"/>
              <w:rFonts w:hint="eastAsia" w:eastAsia="宋体"/>
            </w:rPr>
            <w:t>残疾人福利性单位声明函</w:t>
          </w:r>
          <w:r>
            <w:tab/>
          </w:r>
          <w:r>
            <w:fldChar w:fldCharType="begin"/>
          </w:r>
          <w:r>
            <w:instrText xml:space="preserve"> PAGEREF _Toc495861553 \h </w:instrText>
          </w:r>
          <w:r>
            <w:fldChar w:fldCharType="separate"/>
          </w:r>
          <w:r>
            <w:t>44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"_Toc495861554" </w:instrText>
          </w:r>
          <w:r>
            <w:fldChar w:fldCharType="separate"/>
          </w:r>
          <w:r>
            <w:rPr>
              <w:rStyle w:val="23"/>
              <w:rFonts w:hint="eastAsia" w:eastAsia="宋体"/>
            </w:rPr>
            <w:t>附件五、</w:t>
          </w:r>
          <w:r>
            <w:rPr>
              <w:rFonts w:asciiTheme="minorHAnsi" w:hAnsiTheme="minorHAnsi"/>
              <w:iCs w:val="0"/>
              <w:color w:val="auto"/>
              <w:kern w:val="2"/>
              <w:sz w:val="21"/>
            </w:rPr>
            <w:tab/>
          </w:r>
          <w:r>
            <w:rPr>
              <w:rStyle w:val="23"/>
              <w:rFonts w:hint="eastAsia" w:eastAsia="宋体"/>
            </w:rPr>
            <w:t>开标一览表</w:t>
          </w:r>
          <w:r>
            <w:tab/>
          </w:r>
          <w:r>
            <w:fldChar w:fldCharType="begin"/>
          </w:r>
          <w:r>
            <w:instrText xml:space="preserve"> PAGEREF _Toc495861554 \h </w:instrText>
          </w:r>
          <w:r>
            <w:fldChar w:fldCharType="separate"/>
          </w:r>
          <w:r>
            <w:t>47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"_Toc495861555" </w:instrText>
          </w:r>
          <w:r>
            <w:fldChar w:fldCharType="separate"/>
          </w:r>
          <w:r>
            <w:rPr>
              <w:rStyle w:val="23"/>
              <w:rFonts w:hint="eastAsia" w:eastAsia="宋体"/>
            </w:rPr>
            <w:t>附件六、</w:t>
          </w:r>
          <w:r>
            <w:rPr>
              <w:rFonts w:asciiTheme="minorHAnsi" w:hAnsiTheme="minorHAnsi"/>
              <w:iCs w:val="0"/>
              <w:color w:val="auto"/>
              <w:kern w:val="2"/>
              <w:sz w:val="21"/>
            </w:rPr>
            <w:tab/>
          </w:r>
          <w:r>
            <w:rPr>
              <w:rStyle w:val="23"/>
              <w:rFonts w:hint="eastAsia" w:eastAsia="宋体"/>
            </w:rPr>
            <w:t>投标报价明细表</w:t>
          </w:r>
          <w:r>
            <w:tab/>
          </w:r>
          <w:r>
            <w:fldChar w:fldCharType="begin"/>
          </w:r>
          <w:r>
            <w:instrText xml:space="preserve"> PAGEREF _Toc495861555 \h </w:instrText>
          </w:r>
          <w:r>
            <w:fldChar w:fldCharType="separate"/>
          </w:r>
          <w:r>
            <w:t>48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"_Toc495861556" </w:instrText>
          </w:r>
          <w:r>
            <w:fldChar w:fldCharType="separate"/>
          </w:r>
          <w:r>
            <w:rPr>
              <w:rStyle w:val="23"/>
              <w:rFonts w:hint="eastAsia" w:eastAsia="宋体"/>
            </w:rPr>
            <w:t>附件七、</w:t>
          </w:r>
          <w:r>
            <w:rPr>
              <w:rFonts w:asciiTheme="minorHAnsi" w:hAnsiTheme="minorHAnsi"/>
              <w:iCs w:val="0"/>
              <w:color w:val="auto"/>
              <w:kern w:val="2"/>
              <w:sz w:val="21"/>
            </w:rPr>
            <w:tab/>
          </w:r>
          <w:r>
            <w:rPr>
              <w:rStyle w:val="23"/>
              <w:rFonts w:hint="eastAsia" w:eastAsia="宋体"/>
            </w:rPr>
            <w:t>小型和微型企业、监狱企业、残疾人福利性单位货物汇总表</w:t>
          </w:r>
          <w:r>
            <w:tab/>
          </w:r>
          <w:r>
            <w:fldChar w:fldCharType="begin"/>
          </w:r>
          <w:r>
            <w:instrText xml:space="preserve"> PAGEREF _Toc495861556 \h </w:instrText>
          </w:r>
          <w:r>
            <w:fldChar w:fldCharType="separate"/>
          </w:r>
          <w:r>
            <w:t>49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"_Toc495861557" </w:instrText>
          </w:r>
          <w:r>
            <w:fldChar w:fldCharType="separate"/>
          </w:r>
          <w:r>
            <w:rPr>
              <w:rStyle w:val="23"/>
              <w:rFonts w:hint="eastAsia" w:eastAsia="宋体"/>
            </w:rPr>
            <w:t>附件八、</w:t>
          </w:r>
          <w:r>
            <w:rPr>
              <w:rFonts w:asciiTheme="minorHAnsi" w:hAnsiTheme="minorHAnsi"/>
              <w:iCs w:val="0"/>
              <w:color w:val="auto"/>
              <w:kern w:val="2"/>
              <w:sz w:val="21"/>
            </w:rPr>
            <w:tab/>
          </w:r>
          <w:r>
            <w:rPr>
              <w:rStyle w:val="23"/>
              <w:rFonts w:hint="eastAsia" w:eastAsia="宋体"/>
            </w:rPr>
            <w:t>投标货物（工程或服务）清单</w:t>
          </w:r>
          <w:r>
            <w:tab/>
          </w:r>
          <w:r>
            <w:fldChar w:fldCharType="begin"/>
          </w:r>
          <w:r>
            <w:instrText xml:space="preserve"> PAGEREF _Toc495861557 \h </w:instrText>
          </w:r>
          <w:r>
            <w:fldChar w:fldCharType="separate"/>
          </w:r>
          <w:r>
            <w:t>50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"_Toc495861558" </w:instrText>
          </w:r>
          <w:r>
            <w:fldChar w:fldCharType="separate"/>
          </w:r>
          <w:r>
            <w:rPr>
              <w:rStyle w:val="23"/>
              <w:rFonts w:hint="eastAsia" w:eastAsia="宋体"/>
            </w:rPr>
            <w:t>附件九、</w:t>
          </w:r>
          <w:r>
            <w:rPr>
              <w:rFonts w:asciiTheme="minorHAnsi" w:hAnsiTheme="minorHAnsi"/>
              <w:iCs w:val="0"/>
              <w:color w:val="auto"/>
              <w:kern w:val="2"/>
              <w:sz w:val="21"/>
            </w:rPr>
            <w:tab/>
          </w:r>
          <w:r>
            <w:rPr>
              <w:rStyle w:val="23"/>
              <w:rFonts w:hint="eastAsia" w:eastAsia="宋体"/>
            </w:rPr>
            <w:t>交纳投标保证金的银行凭证</w:t>
          </w:r>
          <w:r>
            <w:tab/>
          </w:r>
          <w:r>
            <w:fldChar w:fldCharType="begin"/>
          </w:r>
          <w:r>
            <w:instrText xml:space="preserve"> PAGEREF _Toc495861558 \h </w:instrText>
          </w:r>
          <w:r>
            <w:fldChar w:fldCharType="separate"/>
          </w:r>
          <w:r>
            <w:t>51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"_Toc495861559" </w:instrText>
          </w:r>
          <w:r>
            <w:fldChar w:fldCharType="separate"/>
          </w:r>
          <w:r>
            <w:rPr>
              <w:rStyle w:val="23"/>
              <w:rFonts w:hint="eastAsia" w:eastAsia="宋体"/>
            </w:rPr>
            <w:t>附件十、</w:t>
          </w:r>
          <w:r>
            <w:rPr>
              <w:rFonts w:asciiTheme="minorHAnsi" w:hAnsiTheme="minorHAnsi"/>
              <w:iCs w:val="0"/>
              <w:color w:val="auto"/>
              <w:kern w:val="2"/>
              <w:sz w:val="21"/>
            </w:rPr>
            <w:tab/>
          </w:r>
          <w:r>
            <w:rPr>
              <w:rStyle w:val="23"/>
              <w:rFonts w:hint="eastAsia" w:eastAsia="宋体"/>
            </w:rPr>
            <w:t>法定代表人授权书</w:t>
          </w:r>
          <w:r>
            <w:tab/>
          </w:r>
          <w:r>
            <w:fldChar w:fldCharType="begin"/>
          </w:r>
          <w:r>
            <w:instrText xml:space="preserve"> PAGEREF _Toc495861559 \h </w:instrText>
          </w:r>
          <w:r>
            <w:fldChar w:fldCharType="separate"/>
          </w:r>
          <w:r>
            <w:t>52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"_Toc495861560" </w:instrText>
          </w:r>
          <w:r>
            <w:fldChar w:fldCharType="separate"/>
          </w:r>
          <w:r>
            <w:rPr>
              <w:rStyle w:val="23"/>
              <w:rFonts w:hint="eastAsia" w:eastAsia="宋体"/>
            </w:rPr>
            <w:t>附件十一、</w:t>
          </w:r>
          <w:r>
            <w:rPr>
              <w:rFonts w:asciiTheme="minorHAnsi" w:hAnsiTheme="minorHAnsi"/>
              <w:iCs w:val="0"/>
              <w:color w:val="auto"/>
              <w:kern w:val="2"/>
              <w:sz w:val="21"/>
            </w:rPr>
            <w:tab/>
          </w:r>
          <w:r>
            <w:rPr>
              <w:rStyle w:val="23"/>
              <w:rFonts w:hint="eastAsia" w:eastAsia="宋体"/>
            </w:rPr>
            <w:t>投标人的资格声明</w:t>
          </w:r>
          <w:r>
            <w:tab/>
          </w:r>
          <w:r>
            <w:fldChar w:fldCharType="begin"/>
          </w:r>
          <w:r>
            <w:instrText xml:space="preserve"> PAGEREF _Toc495861560 \h </w:instrText>
          </w:r>
          <w:r>
            <w:fldChar w:fldCharType="separate"/>
          </w:r>
          <w:r>
            <w:t>53</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"_Toc495861561" </w:instrText>
          </w:r>
          <w:r>
            <w:fldChar w:fldCharType="separate"/>
          </w:r>
          <w:r>
            <w:rPr>
              <w:rStyle w:val="23"/>
              <w:rFonts w:hint="eastAsia" w:eastAsia="宋体"/>
            </w:rPr>
            <w:t>附件十二、</w:t>
          </w:r>
          <w:r>
            <w:rPr>
              <w:rFonts w:asciiTheme="minorHAnsi" w:hAnsiTheme="minorHAnsi"/>
              <w:iCs w:val="0"/>
              <w:color w:val="auto"/>
              <w:kern w:val="2"/>
              <w:sz w:val="21"/>
            </w:rPr>
            <w:tab/>
          </w:r>
          <w:r>
            <w:rPr>
              <w:rStyle w:val="23"/>
              <w:rFonts w:hint="eastAsia" w:eastAsia="宋体"/>
            </w:rPr>
            <w:t>项目负责人、技术负责人简历表</w:t>
          </w:r>
          <w:r>
            <w:tab/>
          </w:r>
          <w:r>
            <w:fldChar w:fldCharType="begin"/>
          </w:r>
          <w:r>
            <w:instrText xml:space="preserve"> PAGEREF _Toc495861561 \h </w:instrText>
          </w:r>
          <w:r>
            <w:fldChar w:fldCharType="separate"/>
          </w:r>
          <w:r>
            <w:t>54</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"_Toc495861562" </w:instrText>
          </w:r>
          <w:r>
            <w:fldChar w:fldCharType="separate"/>
          </w:r>
          <w:r>
            <w:rPr>
              <w:rStyle w:val="23"/>
              <w:rFonts w:hint="eastAsia" w:eastAsia="宋体"/>
            </w:rPr>
            <w:t>附件十三、</w:t>
          </w:r>
          <w:r>
            <w:rPr>
              <w:rFonts w:asciiTheme="minorHAnsi" w:hAnsiTheme="minorHAnsi"/>
              <w:iCs w:val="0"/>
              <w:color w:val="auto"/>
              <w:kern w:val="2"/>
              <w:sz w:val="21"/>
            </w:rPr>
            <w:tab/>
          </w:r>
          <w:r>
            <w:rPr>
              <w:rStyle w:val="23"/>
              <w:rFonts w:hint="eastAsia" w:eastAsia="宋体"/>
            </w:rPr>
            <w:t>项目班子成员情况表</w:t>
          </w:r>
          <w:r>
            <w:tab/>
          </w:r>
          <w:r>
            <w:fldChar w:fldCharType="begin"/>
          </w:r>
          <w:r>
            <w:instrText xml:space="preserve"> PAGEREF _Toc495861562 \h </w:instrText>
          </w:r>
          <w:r>
            <w:fldChar w:fldCharType="separate"/>
          </w:r>
          <w:r>
            <w:t>55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"_Toc495861563" </w:instrText>
          </w:r>
          <w:r>
            <w:fldChar w:fldCharType="separate"/>
          </w:r>
          <w:r>
            <w:rPr>
              <w:rStyle w:val="23"/>
              <w:rFonts w:hint="eastAsia" w:eastAsia="宋体"/>
            </w:rPr>
            <w:t>附件十四、</w:t>
          </w:r>
          <w:r>
            <w:rPr>
              <w:rFonts w:asciiTheme="minorHAnsi" w:hAnsiTheme="minorHAnsi"/>
              <w:iCs w:val="0"/>
              <w:color w:val="auto"/>
              <w:kern w:val="2"/>
              <w:sz w:val="21"/>
            </w:rPr>
            <w:tab/>
          </w:r>
          <w:r>
            <w:rPr>
              <w:rStyle w:val="23"/>
              <w:rFonts w:hint="eastAsia" w:eastAsia="宋体"/>
            </w:rPr>
            <w:t>投标人类似项目业绩表</w:t>
          </w:r>
          <w:r>
            <w:tab/>
          </w:r>
          <w:r>
            <w:fldChar w:fldCharType="begin"/>
          </w:r>
          <w:r>
            <w:instrText xml:space="preserve"> PAGEREF _Toc495861563 \h </w:instrText>
          </w:r>
          <w:r>
            <w:fldChar w:fldCharType="separate"/>
          </w:r>
          <w:r>
            <w:t>56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"_Toc495861564" </w:instrText>
          </w:r>
          <w:r>
            <w:fldChar w:fldCharType="separate"/>
          </w:r>
          <w:r>
            <w:rPr>
              <w:rStyle w:val="23"/>
              <w:rFonts w:hint="eastAsia" w:eastAsia="宋体"/>
            </w:rPr>
            <w:t>附件十五、</w:t>
          </w:r>
          <w:r>
            <w:rPr>
              <w:rFonts w:asciiTheme="minorHAnsi" w:hAnsiTheme="minorHAnsi"/>
              <w:iCs w:val="0"/>
              <w:color w:val="auto"/>
              <w:kern w:val="2"/>
              <w:sz w:val="21"/>
            </w:rPr>
            <w:tab/>
          </w:r>
          <w:r>
            <w:rPr>
              <w:rStyle w:val="23"/>
              <w:rFonts w:hint="eastAsia" w:eastAsia="宋体"/>
            </w:rPr>
            <w:t>符合性审查对照表</w:t>
          </w:r>
          <w:r>
            <w:tab/>
          </w:r>
          <w:r>
            <w:fldChar w:fldCharType="begin"/>
          </w:r>
          <w:r>
            <w:instrText xml:space="preserve"> PAGEREF _Toc495861564 \h </w:instrText>
          </w:r>
          <w:r>
            <w:fldChar w:fldCharType="separate"/>
          </w:r>
          <w:r>
            <w:t>57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"_Toc495861565" </w:instrText>
          </w:r>
          <w:r>
            <w:fldChar w:fldCharType="separate"/>
          </w:r>
          <w:r>
            <w:rPr>
              <w:rStyle w:val="23"/>
              <w:rFonts w:hint="eastAsia" w:eastAsia="宋体"/>
            </w:rPr>
            <w:t>附件十六、</w:t>
          </w:r>
          <w:r>
            <w:rPr>
              <w:rFonts w:asciiTheme="minorHAnsi" w:hAnsiTheme="minorHAnsi"/>
              <w:iCs w:val="0"/>
              <w:color w:val="auto"/>
              <w:kern w:val="2"/>
              <w:sz w:val="21"/>
            </w:rPr>
            <w:tab/>
          </w:r>
          <w:r>
            <w:rPr>
              <w:rStyle w:val="23"/>
              <w:rFonts w:hint="eastAsia" w:eastAsia="宋体"/>
            </w:rPr>
            <w:t>商务要求响应、偏离说明表</w:t>
          </w:r>
          <w:r>
            <w:tab/>
          </w:r>
          <w:r>
            <w:fldChar w:fldCharType="begin"/>
          </w:r>
          <w:r>
            <w:instrText xml:space="preserve"> PAGEREF _Toc495861565 \h </w:instrText>
          </w:r>
          <w:r>
            <w:fldChar w:fldCharType="separate"/>
          </w:r>
          <w:r>
            <w:t>58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"_Toc495861566" </w:instrText>
          </w:r>
          <w:r>
            <w:fldChar w:fldCharType="separate"/>
          </w:r>
          <w:r>
            <w:rPr>
              <w:rStyle w:val="23"/>
              <w:rFonts w:hint="eastAsia" w:eastAsia="宋体"/>
            </w:rPr>
            <w:t>附件十七、</w:t>
          </w:r>
          <w:r>
            <w:rPr>
              <w:rFonts w:asciiTheme="minorHAnsi" w:hAnsiTheme="minorHAnsi"/>
              <w:iCs w:val="0"/>
              <w:color w:val="auto"/>
              <w:kern w:val="2"/>
              <w:sz w:val="21"/>
            </w:rPr>
            <w:tab/>
          </w:r>
          <w:r>
            <w:rPr>
              <w:rStyle w:val="23"/>
              <w:rFonts w:hint="eastAsia" w:eastAsia="宋体"/>
            </w:rPr>
            <w:t>商务要求“★”号条款响应、偏离说明表</w:t>
          </w:r>
          <w:r>
            <w:tab/>
          </w:r>
          <w:r>
            <w:fldChar w:fldCharType="begin"/>
          </w:r>
          <w:r>
            <w:instrText xml:space="preserve"> PAGEREF _Toc495861566 \h </w:instrText>
          </w:r>
          <w:r>
            <w:fldChar w:fldCharType="separate"/>
          </w:r>
          <w:r>
            <w:t>59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"_Toc495861567" </w:instrText>
          </w:r>
          <w:r>
            <w:fldChar w:fldCharType="separate"/>
          </w:r>
          <w:r>
            <w:rPr>
              <w:rStyle w:val="23"/>
              <w:rFonts w:hint="eastAsia" w:eastAsia="宋体"/>
            </w:rPr>
            <w:t>附件十八、</w:t>
          </w:r>
          <w:r>
            <w:rPr>
              <w:rFonts w:asciiTheme="minorHAnsi" w:hAnsiTheme="minorHAnsi"/>
              <w:iCs w:val="0"/>
              <w:color w:val="auto"/>
              <w:kern w:val="2"/>
              <w:sz w:val="21"/>
            </w:rPr>
            <w:tab/>
          </w:r>
          <w:r>
            <w:rPr>
              <w:rStyle w:val="23"/>
              <w:rFonts w:hint="eastAsia" w:eastAsia="宋体"/>
            </w:rPr>
            <w:t>商务评议对照表</w:t>
          </w:r>
          <w:r>
            <w:tab/>
          </w:r>
          <w:r>
            <w:fldChar w:fldCharType="begin"/>
          </w:r>
          <w:r>
            <w:instrText xml:space="preserve"> PAGEREF _Toc495861567 \h </w:instrText>
          </w:r>
          <w:r>
            <w:fldChar w:fldCharType="separate"/>
          </w:r>
          <w:r>
            <w:t>60</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"_Toc495861568" </w:instrText>
          </w:r>
          <w:r>
            <w:fldChar w:fldCharType="separate"/>
          </w:r>
          <w:r>
            <w:rPr>
              <w:rStyle w:val="23"/>
              <w:rFonts w:hint="eastAsia" w:eastAsia="宋体"/>
            </w:rPr>
            <w:t>附件十九、</w:t>
          </w:r>
          <w:r>
            <w:rPr>
              <w:rFonts w:asciiTheme="minorHAnsi" w:hAnsiTheme="minorHAnsi"/>
              <w:iCs w:val="0"/>
              <w:color w:val="auto"/>
              <w:kern w:val="2"/>
              <w:sz w:val="21"/>
            </w:rPr>
            <w:tab/>
          </w:r>
          <w:r>
            <w:rPr>
              <w:rStyle w:val="23"/>
              <w:rFonts w:hint="eastAsia" w:eastAsia="宋体"/>
            </w:rPr>
            <w:t>技术、服务要求响应、偏离说明表</w:t>
          </w:r>
          <w:r>
            <w:tab/>
          </w:r>
          <w:r>
            <w:fldChar w:fldCharType="begin"/>
          </w:r>
          <w:r>
            <w:instrText xml:space="preserve"> PAGEREF _Toc495861568 \h </w:instrText>
          </w:r>
          <w:r>
            <w:fldChar w:fldCharType="separate"/>
          </w:r>
          <w:r>
            <w:t>61</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"_Toc495861569" </w:instrText>
          </w:r>
          <w:r>
            <w:fldChar w:fldCharType="separate"/>
          </w:r>
          <w:r>
            <w:rPr>
              <w:rStyle w:val="23"/>
              <w:rFonts w:hint="eastAsia" w:eastAsia="宋体"/>
            </w:rPr>
            <w:t>附件二十、</w:t>
          </w:r>
          <w:r>
            <w:rPr>
              <w:rFonts w:asciiTheme="minorHAnsi" w:hAnsiTheme="minorHAnsi"/>
              <w:iCs w:val="0"/>
              <w:color w:val="auto"/>
              <w:kern w:val="2"/>
              <w:sz w:val="21"/>
            </w:rPr>
            <w:tab/>
          </w:r>
          <w:r>
            <w:rPr>
              <w:rStyle w:val="23"/>
              <w:rFonts w:hint="eastAsia" w:eastAsia="宋体"/>
            </w:rPr>
            <w:t>技术、服务要求“★”号条款响应、偏离说明表</w:t>
          </w:r>
          <w:r>
            <w:tab/>
          </w:r>
          <w:r>
            <w:fldChar w:fldCharType="begin"/>
          </w:r>
          <w:r>
            <w:instrText xml:space="preserve"> PAGEREF _Toc495861569 \h </w:instrText>
          </w:r>
          <w:r>
            <w:fldChar w:fldCharType="separate"/>
          </w:r>
          <w:r>
            <w:t>62</w:t>
          </w:r>
          <w:r>
            <w:fldChar w:fldCharType="end"/>
          </w:r>
          <w:r>
            <w:fldChar w:fldCharType="end"/>
          </w:r>
        </w:p>
        <w:p>
          <w:pPr>
            <w:pStyle w:val="14"/>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3"/>
              <w:rFonts w:hint="eastAsia" w:eastAsia="宋体"/>
            </w:rPr>
            <w:t>附件二十一、</w:t>
          </w:r>
          <w:r>
            <w:rPr>
              <w:rFonts w:asciiTheme="minorHAnsi" w:hAnsiTheme="minorHAnsi"/>
              <w:iCs w:val="0"/>
              <w:color w:val="auto"/>
              <w:kern w:val="2"/>
              <w:sz w:val="21"/>
            </w:rPr>
            <w:tab/>
          </w:r>
          <w:r>
            <w:rPr>
              <w:rStyle w:val="23"/>
              <w:rFonts w:hint="eastAsia" w:eastAsia="宋体"/>
            </w:rPr>
            <w:t>技术、服务评议对照表</w:t>
          </w:r>
          <w:r>
            <w:tab/>
          </w:r>
          <w:r>
            <w:fldChar w:fldCharType="begin"/>
          </w:r>
          <w:r>
            <w:instrText xml:space="preserve"> PAGEREF _Toc495861570 \h </w:instrText>
          </w:r>
          <w:r>
            <w:fldChar w:fldCharType="separate"/>
          </w:r>
          <w:r>
            <w:t>63</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16"/>
        <w:keepNext w:val="0"/>
        <w:keepLines w:val="0"/>
        <w:widowControl/>
        <w:suppressLineNumbers w:val="0"/>
        <w:pBdr>
          <w:top w:val="single" w:color="auto" w:sz="6" w:space="0"/>
          <w:left w:val="single" w:color="auto" w:sz="6" w:space="3"/>
          <w:bottom w:val="single" w:color="auto" w:sz="6" w:space="0"/>
          <w:right w:val="single" w:color="auto" w:sz="6" w:space="3"/>
        </w:pBdr>
        <w:spacing w:before="0" w:beforeAutospacing="0" w:after="0" w:afterAutospacing="0" w:line="360" w:lineRule="auto"/>
        <w:ind w:left="0" w:right="0" w:firstLine="720"/>
        <w:rPr>
          <w:color w:val="auto"/>
        </w:rPr>
      </w:pPr>
      <w:r>
        <w:rPr>
          <w:rFonts w:hint="eastAsia" w:ascii="宋体" w:hAnsi="宋体" w:cs="宋体"/>
          <w:color w:val="auto"/>
          <w:sz w:val="24"/>
          <w:szCs w:val="24"/>
          <w:shd w:val="clear" w:fill="FFFFFF"/>
          <w:lang w:eastAsia="zh-CN"/>
        </w:rPr>
        <w:t>阳新县人民医院彩色多普勒超声诊断系统采购项目</w:t>
      </w:r>
      <w:r>
        <w:rPr>
          <w:rFonts w:hint="eastAsia" w:ascii="宋体" w:hAnsi="宋体" w:eastAsia="宋体" w:cs="宋体"/>
          <w:color w:val="auto"/>
          <w:sz w:val="24"/>
          <w:szCs w:val="24"/>
          <w:shd w:val="clear" w:fill="FFFFFF"/>
        </w:rPr>
        <w:t>的潜在投标人应在</w:t>
      </w:r>
      <w:r>
        <w:rPr>
          <w:rFonts w:hint="eastAsia" w:ascii="宋体" w:hAnsi="宋体" w:eastAsia="宋体" w:cs="宋体"/>
          <w:color w:val="auto"/>
          <w:spacing w:val="0"/>
          <w:sz w:val="24"/>
          <w:szCs w:val="24"/>
          <w:shd w:val="clear" w:fill="FFFFFF"/>
        </w:rPr>
        <w:t>“湖北省政府采购网”、“黄石市公共资源交易信息网”及“阳新县人民政府网”</w:t>
      </w:r>
      <w:r>
        <w:rPr>
          <w:rFonts w:hint="eastAsia" w:ascii="宋体" w:hAnsi="宋体" w:eastAsia="宋体" w:cs="宋体"/>
          <w:color w:val="auto"/>
          <w:sz w:val="24"/>
          <w:szCs w:val="24"/>
          <w:shd w:val="clear" w:fill="FFFFFF"/>
        </w:rPr>
        <w:t>获取招标文件，并于</w:t>
      </w:r>
      <w:r>
        <w:rPr>
          <w:rFonts w:hint="eastAsia" w:ascii="宋体" w:hAnsi="宋体" w:eastAsia="宋体" w:cs="宋体"/>
          <w:color w:val="auto"/>
          <w:spacing w:val="0"/>
          <w:sz w:val="24"/>
          <w:szCs w:val="24"/>
          <w:u w:val="single"/>
          <w:shd w:val="clear" w:fill="FFFFFF"/>
        </w:rPr>
        <w:t>2020</w:t>
      </w:r>
      <w:r>
        <w:rPr>
          <w:rFonts w:hint="eastAsia" w:ascii="宋体" w:hAnsi="宋体" w:eastAsia="宋体" w:cs="宋体"/>
          <w:color w:val="auto"/>
          <w:spacing w:val="0"/>
          <w:sz w:val="24"/>
          <w:szCs w:val="24"/>
          <w:shd w:val="clear" w:fill="FFFFFF"/>
        </w:rPr>
        <w:t>年</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 9 </w:t>
      </w:r>
      <w:r>
        <w:rPr>
          <w:rFonts w:hint="eastAsia" w:ascii="宋体" w:hAnsi="宋体" w:eastAsia="宋体" w:cs="宋体"/>
          <w:color w:val="auto"/>
          <w:spacing w:val="0"/>
          <w:sz w:val="24"/>
          <w:szCs w:val="24"/>
          <w:shd w:val="clear" w:fill="FFFFFF"/>
        </w:rPr>
        <w:t>月</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 25 </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shd w:val="clear" w:fill="FFFFFF"/>
        </w:rPr>
        <w:t>日</w:t>
      </w:r>
      <w:r>
        <w:rPr>
          <w:rFonts w:hint="eastAsia" w:ascii="宋体" w:hAnsi="宋体" w:eastAsia="宋体" w:cs="宋体"/>
          <w:color w:val="auto"/>
          <w:spacing w:val="0"/>
          <w:sz w:val="24"/>
          <w:szCs w:val="24"/>
          <w:u w:val="single"/>
          <w:shd w:val="clear" w:fill="FFFFFF"/>
        </w:rPr>
        <w:t>09</w:t>
      </w:r>
      <w:r>
        <w:rPr>
          <w:rFonts w:hint="eastAsia" w:ascii="宋体" w:hAnsi="宋体" w:eastAsia="宋体" w:cs="宋体"/>
          <w:color w:val="auto"/>
          <w:spacing w:val="0"/>
          <w:sz w:val="24"/>
          <w:szCs w:val="24"/>
          <w:shd w:val="clear" w:fill="FFFFFF"/>
        </w:rPr>
        <w:t>点00分(</w:t>
      </w:r>
      <w:r>
        <w:rPr>
          <w:rFonts w:hint="eastAsia" w:ascii="宋体" w:hAnsi="宋体" w:eastAsia="宋体" w:cs="宋体"/>
          <w:color w:val="auto"/>
          <w:sz w:val="24"/>
          <w:szCs w:val="24"/>
          <w:shd w:val="clear" w:fill="FFFFFF"/>
        </w:rPr>
        <w:t>北京时间）前递交投标文件。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1"/>
          <w:rFonts w:hint="eastAsia" w:ascii="宋体" w:hAnsi="宋体" w:eastAsia="宋体" w:cs="宋体"/>
          <w:color w:val="auto"/>
          <w:sz w:val="24"/>
          <w:szCs w:val="24"/>
          <w:shd w:val="clear" w:fill="FFFFFF"/>
        </w:rPr>
        <w:t>一、项目基本情况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shd w:val="clear" w:fill="FFFFFF"/>
        </w:rPr>
        <w:t>项目编号：131-2020CG-</w:t>
      </w:r>
      <w:r>
        <w:rPr>
          <w:rFonts w:hint="eastAsia" w:ascii="宋体" w:hAnsi="宋体" w:eastAsia="宋体" w:cs="宋体"/>
          <w:color w:val="auto"/>
          <w:sz w:val="24"/>
          <w:szCs w:val="24"/>
          <w:u w:val="none"/>
          <w:shd w:val="clear" w:fill="FFFFFF"/>
          <w:lang w:val="en-US" w:eastAsia="zh-CN"/>
        </w:rPr>
        <w:t>162</w:t>
      </w:r>
      <w:r>
        <w:rPr>
          <w:rFonts w:hint="eastAsia" w:ascii="宋体" w:hAnsi="宋体" w:cs="宋体"/>
          <w:color w:val="auto"/>
          <w:sz w:val="24"/>
          <w:szCs w:val="24"/>
          <w:u w:val="none"/>
          <w:shd w:val="clear" w:fill="FFFFFF"/>
          <w:lang w:val="en-US" w:eastAsia="zh-CN"/>
        </w:rPr>
        <w:t xml:space="preserve"> </w:t>
      </w:r>
      <w:r>
        <w:rPr>
          <w:rFonts w:hint="eastAsia" w:ascii="宋体" w:hAnsi="宋体" w:eastAsia="宋体" w:cs="宋体"/>
          <w:i w:val="0"/>
          <w:caps w:val="0"/>
          <w:color w:val="auto"/>
          <w:spacing w:val="0"/>
          <w:kern w:val="0"/>
          <w:sz w:val="24"/>
          <w:szCs w:val="24"/>
          <w:u w:val="none"/>
          <w:shd w:val="clear" w:fill="FFFFFF"/>
          <w:lang w:val="en-US" w:eastAsia="zh-CN" w:bidi="ar"/>
        </w:rPr>
        <w:t>（政府采购备案号：阳财采计备[2020]A</w:t>
      </w:r>
      <w:r>
        <w:rPr>
          <w:rFonts w:hint="eastAsia" w:ascii="宋体" w:hAnsi="宋体" w:cs="宋体"/>
          <w:i w:val="0"/>
          <w:caps w:val="0"/>
          <w:color w:val="auto"/>
          <w:spacing w:val="0"/>
          <w:kern w:val="0"/>
          <w:sz w:val="24"/>
          <w:szCs w:val="24"/>
          <w:u w:val="single"/>
          <w:shd w:val="clear" w:fill="FFFFFF"/>
          <w:lang w:val="en-US" w:eastAsia="zh-CN" w:bidi="ar"/>
        </w:rPr>
        <w:t xml:space="preserve"> 131</w:t>
      </w:r>
      <w:r>
        <w:rPr>
          <w:rFonts w:hint="eastAsia" w:ascii="宋体" w:hAnsi="宋体" w:eastAsia="宋体" w:cs="宋体"/>
          <w:i w:val="0"/>
          <w:caps w:val="0"/>
          <w:color w:val="auto"/>
          <w:spacing w:val="0"/>
          <w:kern w:val="0"/>
          <w:sz w:val="24"/>
          <w:szCs w:val="24"/>
          <w:u w:val="single"/>
          <w:shd w:val="clear" w:fill="FFFFFF"/>
          <w:lang w:val="en-US" w:eastAsia="zh-CN" w:bidi="ar"/>
        </w:rPr>
        <w:t xml:space="preserve"> </w:t>
      </w:r>
      <w:r>
        <w:rPr>
          <w:rFonts w:hint="eastAsia" w:ascii="宋体" w:hAnsi="宋体" w:eastAsia="宋体" w:cs="宋体"/>
          <w:i w:val="0"/>
          <w:caps w:val="0"/>
          <w:color w:val="auto"/>
          <w:spacing w:val="0"/>
          <w:kern w:val="0"/>
          <w:sz w:val="24"/>
          <w:szCs w:val="24"/>
          <w:u w:val="none"/>
          <w:shd w:val="clear" w:fill="FFFFFF"/>
          <w:lang w:val="en-US" w:eastAsia="zh-CN" w:bidi="ar"/>
        </w:rPr>
        <w:t>号）</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eastAsia="宋体"/>
          <w:color w:val="auto"/>
          <w:lang w:eastAsia="zh-CN"/>
        </w:rPr>
      </w:pPr>
      <w:r>
        <w:rPr>
          <w:rFonts w:hint="eastAsia" w:ascii="宋体" w:hAnsi="宋体" w:eastAsia="宋体" w:cs="宋体"/>
          <w:color w:val="auto"/>
          <w:sz w:val="24"/>
          <w:szCs w:val="24"/>
          <w:shd w:val="clear" w:fill="FFFFFF"/>
        </w:rPr>
        <w:t>项目名称：</w:t>
      </w:r>
      <w:r>
        <w:rPr>
          <w:rFonts w:hint="eastAsia" w:ascii="宋体" w:hAnsi="宋体" w:cs="宋体"/>
          <w:color w:val="auto"/>
          <w:sz w:val="24"/>
          <w:szCs w:val="24"/>
          <w:shd w:val="clear" w:fill="FFFFFF"/>
          <w:lang w:eastAsia="zh-CN"/>
        </w:rPr>
        <w:t>阳新县人民医院彩色多普勒超声诊断系统采购项目</w:t>
      </w:r>
    </w:p>
    <w:p>
      <w:pPr>
        <w:pStyle w:val="16"/>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预算金额：</w:t>
      </w:r>
      <w:r>
        <w:rPr>
          <w:rFonts w:hint="eastAsia" w:ascii="宋体" w:hAnsi="宋体" w:cs="宋体"/>
          <w:color w:val="auto"/>
          <w:sz w:val="24"/>
          <w:szCs w:val="24"/>
          <w:shd w:val="clear" w:fill="FFFFFF"/>
          <w:lang w:val="en-US" w:eastAsia="zh-CN"/>
        </w:rPr>
        <w:t>290</w:t>
      </w:r>
      <w:r>
        <w:rPr>
          <w:rFonts w:hint="eastAsia" w:ascii="宋体" w:hAnsi="宋体" w:eastAsia="宋体" w:cs="宋体"/>
          <w:color w:val="auto"/>
          <w:sz w:val="24"/>
          <w:szCs w:val="24"/>
          <w:shd w:val="clear" w:fill="FFFFFF"/>
        </w:rPr>
        <w:t>万元（超过此金额作为无效投标）</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采购需求：</w:t>
      </w:r>
      <w:r>
        <w:rPr>
          <w:rFonts w:hint="eastAsia" w:ascii="宋体" w:hAnsi="宋体" w:cs="宋体"/>
          <w:color w:val="auto"/>
          <w:sz w:val="24"/>
          <w:szCs w:val="24"/>
          <w:shd w:val="clear" w:fill="FFFFFF"/>
          <w:lang w:eastAsia="zh-CN"/>
        </w:rPr>
        <w:t>彩色多普勒超声诊断仪设备采购，</w:t>
      </w:r>
      <w:r>
        <w:rPr>
          <w:rFonts w:hint="eastAsia" w:ascii="宋体" w:hAnsi="宋体" w:eastAsia="宋体" w:cs="宋体"/>
          <w:color w:val="0C0C0C"/>
          <w:sz w:val="24"/>
          <w:szCs w:val="24"/>
          <w:shd w:val="clear" w:fill="FFFFFF"/>
        </w:rPr>
        <w:t>本项目已办理进口产品审批手续（详见招标文件）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eastAsia="宋体"/>
          <w:color w:val="auto"/>
          <w:lang w:val="en-US" w:eastAsia="zh-CN"/>
        </w:rPr>
      </w:pPr>
      <w:r>
        <w:rPr>
          <w:rFonts w:hint="eastAsia" w:ascii="宋体" w:hAnsi="宋体" w:eastAsia="宋体" w:cs="宋体"/>
          <w:color w:val="auto"/>
          <w:sz w:val="24"/>
          <w:szCs w:val="24"/>
          <w:shd w:val="clear" w:fill="FFFFFF"/>
        </w:rPr>
        <w:t>合同履行期限：</w:t>
      </w:r>
      <w:r>
        <w:rPr>
          <w:rFonts w:hint="eastAsia" w:ascii="宋体" w:hAnsi="宋体" w:eastAsia="宋体" w:cs="宋体"/>
          <w:sz w:val="24"/>
          <w:szCs w:val="24"/>
          <w:u w:val="none"/>
          <w:lang w:eastAsia="zh-CN"/>
        </w:rPr>
        <w:t>合同签定后</w:t>
      </w:r>
      <w:r>
        <w:rPr>
          <w:rFonts w:hint="eastAsia" w:ascii="宋体" w:hAnsi="宋体" w:cs="宋体"/>
          <w:sz w:val="24"/>
          <w:szCs w:val="24"/>
          <w:u w:val="none"/>
          <w:lang w:val="en-US" w:eastAsia="zh-CN"/>
        </w:rPr>
        <w:t>20</w:t>
      </w:r>
      <w:r>
        <w:rPr>
          <w:rFonts w:hint="eastAsia" w:ascii="宋体" w:hAnsi="宋体" w:eastAsia="宋体" w:cs="宋体"/>
          <w:sz w:val="24"/>
          <w:szCs w:val="24"/>
          <w:u w:val="none"/>
          <w:lang w:val="en-US" w:eastAsia="zh-CN"/>
        </w:rPr>
        <w:t>个工作日内</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本项目不接受联合体投标。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1"/>
          <w:rFonts w:hint="eastAsia" w:ascii="宋体" w:hAnsi="宋体" w:eastAsia="宋体" w:cs="宋体"/>
          <w:color w:val="auto"/>
          <w:sz w:val="24"/>
          <w:szCs w:val="24"/>
          <w:shd w:val="clear" w:fill="FFFFFF"/>
        </w:rPr>
        <w:t>二、申请人的资格要求：</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1、应具备《政府采购法》第二十二条第一款规定的条件；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0"/>
        </w:numPr>
        <w:tabs>
          <w:tab w:val="left" w:pos="896"/>
        </w:tabs>
        <w:spacing w:line="360" w:lineRule="auto"/>
        <w:ind w:left="482" w:leftChars="0"/>
        <w:rPr>
          <w:rFonts w:hint="eastAsia" w:ascii="宋体" w:hAnsi="宋体" w:eastAsia="宋体" w:cs="Times New Roman"/>
          <w:bCs/>
          <w:color w:val="0C0C0C" w:themeColor="text1" w:themeTint="F2"/>
          <w:sz w:val="24"/>
          <w:szCs w:val="24"/>
          <w:highlight w:val="none"/>
          <w:lang w:val="en-US" w:eastAsia="zh-CN"/>
        </w:rPr>
      </w:pPr>
      <w:r>
        <w:rPr>
          <w:rFonts w:hint="eastAsia" w:ascii="宋体" w:hAnsi="宋体" w:cs="Times New Roman"/>
          <w:bCs/>
          <w:color w:val="0C0C0C" w:themeColor="text1" w:themeTint="F2"/>
          <w:sz w:val="24"/>
          <w:szCs w:val="24"/>
          <w:highlight w:val="none"/>
          <w:lang w:val="en-US" w:eastAsia="zh-CN"/>
        </w:rPr>
        <w:t>3、</w:t>
      </w:r>
      <w:r>
        <w:rPr>
          <w:rFonts w:hint="eastAsia" w:ascii="宋体" w:hAnsi="宋体" w:eastAsia="宋体" w:cs="Times New Roman"/>
          <w:bCs/>
          <w:color w:val="0C0C0C" w:themeColor="text1" w:themeTint="F2"/>
          <w:sz w:val="24"/>
          <w:szCs w:val="24"/>
          <w:highlight w:val="none"/>
          <w:lang w:val="en-US" w:eastAsia="zh-CN"/>
        </w:rPr>
        <w:t>特定条件：</w:t>
      </w:r>
    </w:p>
    <w:p>
      <w:pPr>
        <w:adjustRightInd w:val="0"/>
        <w:snapToGrid w:val="0"/>
        <w:spacing w:line="360" w:lineRule="auto"/>
        <w:ind w:firstLine="480" w:firstLineChars="200"/>
        <w:rPr>
          <w:rFonts w:hint="default" w:ascii="宋体" w:hAnsi="宋体" w:eastAsia="宋体" w:cs="Times New Roman"/>
          <w:color w:val="0C0C0C" w:themeColor="text1" w:themeTint="F2"/>
          <w:sz w:val="24"/>
          <w:szCs w:val="24"/>
          <w:highlight w:val="none"/>
          <w:lang w:val="en-US" w:eastAsia="zh-CN"/>
        </w:rPr>
      </w:pPr>
      <w:r>
        <w:rPr>
          <w:rFonts w:hint="eastAsia" w:ascii="宋体" w:hAnsi="宋体" w:cs="宋体"/>
          <w:color w:val="auto"/>
          <w:sz w:val="24"/>
          <w:highlight w:val="none"/>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numPr>
          <w:ilvl w:val="0"/>
          <w:numId w:val="0"/>
        </w:numPr>
        <w:tabs>
          <w:tab w:val="left" w:pos="896"/>
        </w:tabs>
        <w:spacing w:line="360" w:lineRule="auto"/>
        <w:ind w:left="482" w:leftChars="0"/>
        <w:rPr>
          <w:rFonts w:hint="eastAsia" w:ascii="宋体" w:hAnsi="宋体" w:eastAsia="宋体" w:cs="Times New Roman"/>
          <w:bCs/>
          <w:color w:val="0C0C0C" w:themeColor="text1" w:themeTint="F2"/>
          <w:sz w:val="24"/>
          <w:szCs w:val="24"/>
          <w:highlight w:val="none"/>
          <w:lang w:val="en-US" w:eastAsia="zh-CN"/>
        </w:rPr>
      </w:pPr>
      <w:r>
        <w:rPr>
          <w:rFonts w:hint="eastAsia" w:ascii="宋体" w:hAnsi="宋体" w:cs="Times New Roman"/>
          <w:bCs/>
          <w:color w:val="0C0C0C" w:themeColor="text1" w:themeTint="F2"/>
          <w:sz w:val="24"/>
          <w:szCs w:val="24"/>
          <w:highlight w:val="none"/>
          <w:lang w:val="en-US" w:eastAsia="zh-CN"/>
        </w:rPr>
        <w:t>4、</w:t>
      </w:r>
      <w:r>
        <w:rPr>
          <w:rFonts w:hint="eastAsia" w:ascii="宋体" w:hAnsi="宋体" w:eastAsia="宋体" w:cs="Times New Roman"/>
          <w:bCs/>
          <w:color w:val="0C0C0C" w:themeColor="text1" w:themeTint="F2"/>
          <w:sz w:val="24"/>
          <w:szCs w:val="24"/>
          <w:highlight w:val="none"/>
          <w:lang w:val="en-US" w:eastAsia="zh-CN"/>
        </w:rPr>
        <w:t>本项目不接受联合体形式的投标。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1"/>
          <w:rFonts w:hint="eastAsia" w:ascii="宋体" w:hAnsi="宋体" w:eastAsia="宋体" w:cs="宋体"/>
          <w:color w:val="auto"/>
          <w:sz w:val="24"/>
          <w:szCs w:val="24"/>
          <w:shd w:val="clear" w:fill="FFFFFF"/>
        </w:rPr>
        <w:t>三、获取招标文件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时间：</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9</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4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日至</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9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11</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日17:30(北京时间)</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招标文件下载：见附件</w:t>
      </w:r>
    </w:p>
    <w:p>
      <w:pPr>
        <w:pStyle w:val="1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Style w:val="21"/>
          <w:rFonts w:hint="eastAsia" w:ascii="宋体" w:hAnsi="宋体" w:eastAsia="宋体" w:cs="宋体"/>
          <w:color w:val="auto"/>
          <w:sz w:val="24"/>
          <w:szCs w:val="24"/>
          <w:shd w:val="clear" w:fill="FFFFFF"/>
        </w:rPr>
      </w:pPr>
      <w:r>
        <w:rPr>
          <w:rStyle w:val="21"/>
          <w:rFonts w:hint="eastAsia" w:ascii="宋体" w:hAnsi="宋体" w:eastAsia="宋体" w:cs="宋体"/>
          <w:color w:val="auto"/>
          <w:sz w:val="24"/>
          <w:szCs w:val="24"/>
          <w:shd w:val="clear" w:fill="FFFFFF"/>
        </w:rPr>
        <w:t>提交投标文件截止时间、开标时间和地点</w:t>
      </w:r>
    </w:p>
    <w:p>
      <w:pPr>
        <w:pStyle w:val="16"/>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b w:val="0"/>
          <w:sz w:val="24"/>
          <w:szCs w:val="24"/>
        </w:rPr>
        <w:t>提交投标文件截止时间、开标时间</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9</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25</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日9时</w:t>
      </w:r>
      <w:r>
        <w:rPr>
          <w:rFonts w:hint="eastAsia" w:ascii="宋体" w:hAnsi="宋体" w:eastAsia="宋体" w:cs="宋体"/>
          <w:color w:val="auto"/>
          <w:sz w:val="24"/>
          <w:szCs w:val="24"/>
          <w:shd w:val="clear" w:fill="FFFFFF"/>
          <w:lang w:val="en-US" w:eastAsia="zh-CN"/>
        </w:rPr>
        <w:t>00分</w:t>
      </w:r>
      <w:r>
        <w:rPr>
          <w:rFonts w:hint="eastAsia" w:ascii="宋体" w:hAnsi="宋体" w:eastAsia="宋体" w:cs="宋体"/>
          <w:color w:val="auto"/>
          <w:sz w:val="24"/>
          <w:szCs w:val="24"/>
          <w:shd w:val="clear" w:fill="FFFFFF"/>
        </w:rPr>
        <w:t>（8时</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0分开始接收投标文件，拒收逾期送达或者未按招标文件要求密封的投标文件）</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b w:val="0"/>
          <w:sz w:val="24"/>
          <w:szCs w:val="24"/>
        </w:rPr>
        <w:t>提交投标文件地点</w:t>
      </w:r>
      <w:r>
        <w:rPr>
          <w:rFonts w:hint="eastAsia" w:ascii="宋体" w:hAnsi="宋体" w:eastAsia="宋体" w:cs="宋体"/>
          <w:color w:val="auto"/>
          <w:sz w:val="24"/>
          <w:szCs w:val="24"/>
          <w:shd w:val="clear" w:fill="FFFFFF"/>
        </w:rPr>
        <w:t>：阳新县公共资源交易中心</w:t>
      </w:r>
      <w:r>
        <w:rPr>
          <w:rFonts w:hint="eastAsia" w:ascii="宋体" w:hAnsi="宋体" w:eastAsia="宋体" w:cs="宋体"/>
          <w:color w:val="auto"/>
          <w:sz w:val="24"/>
          <w:szCs w:val="24"/>
          <w:u w:val="single"/>
          <w:shd w:val="clear" w:fill="FFFFFF"/>
          <w:lang w:val="en-US" w:eastAsia="zh-CN"/>
        </w:rPr>
        <w:t xml:space="preserve"> 二</w:t>
      </w:r>
      <w:r>
        <w:rPr>
          <w:rFonts w:hint="eastAsia" w:ascii="宋体" w:hAnsi="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楼开标大厅（阳新县熊家垴安置小区东侧）</w:t>
      </w:r>
    </w:p>
    <w:p>
      <w:pPr>
        <w:pStyle w:val="16"/>
        <w:keepNext w:val="0"/>
        <w:keepLines w:val="0"/>
        <w:widowControl/>
        <w:suppressLineNumbers w:val="0"/>
        <w:spacing w:before="0" w:beforeAutospacing="0" w:after="0" w:afterAutospacing="0" w:line="360" w:lineRule="auto"/>
        <w:ind w:left="0" w:right="0" w:firstLine="420"/>
        <w:rPr>
          <w:color w:val="auto"/>
        </w:rPr>
      </w:pPr>
      <w:r>
        <w:rPr>
          <w:rStyle w:val="21"/>
          <w:rFonts w:hint="eastAsia" w:ascii="宋体" w:hAnsi="宋体" w:eastAsia="宋体" w:cs="宋体"/>
          <w:color w:val="auto"/>
          <w:sz w:val="24"/>
          <w:szCs w:val="24"/>
          <w:shd w:val="clear" w:fill="FFFFFF"/>
        </w:rPr>
        <w:t>五、公告期限</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自本公告发布之日起5个工作日。</w:t>
      </w:r>
    </w:p>
    <w:p>
      <w:pPr>
        <w:pStyle w:val="16"/>
        <w:keepNext w:val="0"/>
        <w:keepLines w:val="0"/>
        <w:widowControl/>
        <w:suppressLineNumbers w:val="0"/>
        <w:spacing w:before="0" w:beforeAutospacing="0" w:after="0" w:afterAutospacing="0" w:line="360" w:lineRule="auto"/>
        <w:ind w:left="0" w:right="0" w:firstLine="420"/>
        <w:rPr>
          <w:color w:val="auto"/>
        </w:rPr>
      </w:pPr>
      <w:r>
        <w:rPr>
          <w:rStyle w:val="21"/>
          <w:rFonts w:hint="eastAsia" w:ascii="宋体" w:hAnsi="宋体" w:eastAsia="宋体" w:cs="宋体"/>
          <w:color w:val="auto"/>
          <w:sz w:val="24"/>
          <w:szCs w:val="24"/>
          <w:shd w:val="clear" w:fill="FFFFFF"/>
        </w:rPr>
        <w:t>六、其他补充事宜</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落实政府采购强制、优先采购节能产品政策；政府采购优先采购环保产品政策；政府采购促进中小企业发展（监狱企业、残疾人福利性单位视同小微企业）等政策。</w:t>
      </w:r>
    </w:p>
    <w:p>
      <w:pPr>
        <w:pStyle w:val="16"/>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2、</w:t>
      </w:r>
      <w:r>
        <w:rPr>
          <w:rFonts w:hint="eastAsia" w:ascii="宋体" w:hAnsi="宋体" w:eastAsia="宋体" w:cs="宋体"/>
          <w:color w:val="auto"/>
          <w:sz w:val="24"/>
          <w:szCs w:val="24"/>
          <w:shd w:val="clear" w:fill="FFFFFF"/>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6"/>
        <w:keepNext w:val="0"/>
        <w:keepLines w:val="0"/>
        <w:widowControl/>
        <w:suppressLineNumbers w:val="0"/>
        <w:spacing w:before="0" w:beforeAutospacing="0" w:after="0" w:afterAutospacing="0" w:line="360" w:lineRule="auto"/>
        <w:ind w:left="0" w:right="0" w:firstLine="420"/>
        <w:rPr>
          <w:color w:val="auto"/>
        </w:rPr>
      </w:pPr>
      <w:r>
        <w:rPr>
          <w:rStyle w:val="21"/>
          <w:rFonts w:hint="eastAsia" w:ascii="宋体" w:hAnsi="宋体" w:eastAsia="宋体" w:cs="宋体"/>
          <w:color w:val="auto"/>
          <w:sz w:val="24"/>
          <w:szCs w:val="24"/>
          <w:shd w:val="clear" w:fill="FFFFFF"/>
        </w:rPr>
        <w:t>七、对本次招标提出询问，请按以下方式联系。</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1.采购人信息</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eastAsia="宋体" w:cs="宋体"/>
          <w:b/>
          <w:color w:val="000000"/>
          <w:sz w:val="24"/>
          <w:szCs w:val="24"/>
          <w:u w:val="single"/>
          <w:lang w:eastAsia="zh-CN"/>
        </w:rPr>
        <w:t>阳新县人民医院</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地   址：</w:t>
      </w:r>
      <w:r>
        <w:rPr>
          <w:rFonts w:hint="eastAsia" w:ascii="宋体" w:hAnsi="宋体" w:eastAsia="宋体" w:cs="宋体"/>
          <w:b/>
          <w:bCs/>
          <w:kern w:val="0"/>
          <w:sz w:val="24"/>
          <w:u w:val="single"/>
          <w:lang w:eastAsia="zh-CN"/>
        </w:rPr>
        <w:t>阳新县兴国镇儒学垴路</w:t>
      </w:r>
      <w:r>
        <w:rPr>
          <w:rFonts w:hint="eastAsia" w:ascii="宋体" w:hAnsi="宋体" w:eastAsia="宋体" w:cs="宋体"/>
          <w:b/>
          <w:bCs/>
          <w:kern w:val="0"/>
          <w:sz w:val="24"/>
          <w:u w:val="single"/>
          <w:lang w:val="en-US" w:eastAsia="zh-CN"/>
        </w:rPr>
        <w:t>81</w:t>
      </w:r>
      <w:r>
        <w:rPr>
          <w:rFonts w:hint="eastAsia" w:ascii="宋体" w:hAnsi="宋体" w:eastAsia="宋体" w:cs="宋体"/>
          <w:b/>
          <w:bCs/>
          <w:kern w:val="0"/>
          <w:sz w:val="24"/>
          <w:u w:val="single"/>
          <w:lang w:eastAsia="zh-CN"/>
        </w:rPr>
        <w:t>号</w:t>
      </w:r>
    </w:p>
    <w:p>
      <w:pPr>
        <w:pStyle w:val="16"/>
        <w:keepNext w:val="0"/>
        <w:keepLines w:val="0"/>
        <w:widowControl/>
        <w:suppressLineNumbers w:val="0"/>
        <w:spacing w:before="0" w:beforeAutospacing="0" w:after="0" w:afterAutospacing="0" w:line="360" w:lineRule="auto"/>
        <w:ind w:left="0" w:right="0" w:firstLine="480"/>
        <w:rPr>
          <w:rFonts w:hint="default" w:eastAsia="宋体"/>
          <w:color w:val="auto"/>
          <w:lang w:val="en-US" w:eastAsia="zh-CN"/>
        </w:rPr>
      </w:pPr>
      <w:r>
        <w:rPr>
          <w:rFonts w:hint="eastAsia" w:ascii="宋体" w:hAnsi="宋体" w:eastAsia="宋体" w:cs="宋体"/>
          <w:color w:val="auto"/>
          <w:sz w:val="24"/>
          <w:szCs w:val="24"/>
          <w:shd w:val="clear" w:fill="FFFFFF"/>
        </w:rPr>
        <w:t>联系方式：</w:t>
      </w:r>
      <w:r>
        <w:rPr>
          <w:rFonts w:hint="eastAsia" w:ascii="宋体" w:hAnsi="宋体" w:cs="宋体"/>
          <w:b/>
          <w:bCs w:val="0"/>
          <w:color w:val="000000"/>
          <w:kern w:val="0"/>
          <w:sz w:val="24"/>
          <w:szCs w:val="24"/>
          <w:u w:val="single"/>
          <w:lang w:val="en-US" w:eastAsia="zh-CN"/>
        </w:rPr>
        <w:t>13669042989</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2.采购代理机构信息</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cs="宋体"/>
          <w:b/>
          <w:color w:val="000000"/>
          <w:sz w:val="24"/>
          <w:szCs w:val="24"/>
          <w:u w:val="single"/>
          <w:lang w:eastAsia="zh-CN"/>
        </w:rPr>
        <w:t>深圳群伦项目管理有限公司</w:t>
      </w:r>
    </w:p>
    <w:p>
      <w:pPr>
        <w:pStyle w:val="16"/>
        <w:keepNext w:val="0"/>
        <w:keepLines w:val="0"/>
        <w:widowControl/>
        <w:suppressLineNumbers w:val="0"/>
        <w:spacing w:before="0" w:beforeAutospacing="0" w:after="0" w:afterAutospacing="0" w:line="360" w:lineRule="auto"/>
        <w:ind w:left="0" w:right="0" w:firstLine="480"/>
        <w:rPr>
          <w:rFonts w:hint="eastAsia" w:eastAsia="宋体"/>
          <w:color w:val="auto"/>
          <w:lang w:val="en-US" w:eastAsia="zh-CN"/>
        </w:rPr>
      </w:pPr>
      <w:r>
        <w:rPr>
          <w:rFonts w:hint="eastAsia" w:ascii="宋体" w:hAnsi="宋体" w:eastAsia="宋体" w:cs="宋体"/>
          <w:color w:val="auto"/>
          <w:sz w:val="24"/>
          <w:szCs w:val="24"/>
          <w:shd w:val="clear" w:fill="FFFFFF"/>
        </w:rPr>
        <w:t>地   址：</w:t>
      </w:r>
      <w:r>
        <w:rPr>
          <w:rFonts w:hint="eastAsia" w:ascii="宋体" w:hAnsi="宋体" w:eastAsia="宋体" w:cs="宋体"/>
          <w:b/>
          <w:bCs/>
          <w:color w:val="auto"/>
          <w:sz w:val="24"/>
          <w:szCs w:val="24"/>
          <w:u w:val="single"/>
          <w:shd w:val="clear" w:fill="FFFFFF"/>
        </w:rPr>
        <w:t>阳新县兴国镇金色阳光小区</w:t>
      </w:r>
      <w:r>
        <w:rPr>
          <w:rFonts w:hint="eastAsia" w:ascii="宋体" w:hAnsi="宋体" w:eastAsia="宋体" w:cs="宋体"/>
          <w:b/>
          <w:bCs/>
          <w:color w:val="auto"/>
          <w:sz w:val="24"/>
          <w:szCs w:val="24"/>
          <w:u w:val="single"/>
          <w:shd w:val="clear" w:fill="FFFFFF"/>
          <w:lang w:val="en-US" w:eastAsia="zh-CN"/>
        </w:rPr>
        <w:t>103号</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联系方式：</w:t>
      </w:r>
      <w:r>
        <w:rPr>
          <w:rFonts w:hint="eastAsia" w:ascii="宋体" w:hAnsi="宋体" w:cs="宋体"/>
          <w:b/>
          <w:color w:val="000000"/>
          <w:sz w:val="24"/>
          <w:szCs w:val="24"/>
          <w:u w:val="single"/>
          <w:lang w:val="en-US" w:eastAsia="zh-CN"/>
        </w:rPr>
        <w:t>17871031619</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3.项目联系方式</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项目联系人：</w:t>
      </w:r>
      <w:r>
        <w:rPr>
          <w:rFonts w:hint="eastAsia" w:ascii="宋体" w:hAnsi="宋体" w:cs="宋体"/>
          <w:b/>
          <w:bCs/>
          <w:color w:val="auto"/>
          <w:sz w:val="24"/>
          <w:szCs w:val="24"/>
          <w:u w:val="single"/>
          <w:shd w:val="clear" w:fill="FFFFFF"/>
          <w:lang w:eastAsia="zh-CN"/>
        </w:rPr>
        <w:t>周朝晖</w:t>
      </w:r>
      <w:r>
        <w:rPr>
          <w:rFonts w:hint="eastAsia" w:ascii="宋体" w:hAnsi="宋体" w:eastAsia="宋体" w:cs="宋体"/>
          <w:color w:val="auto"/>
          <w:sz w:val="24"/>
          <w:szCs w:val="24"/>
          <w:shd w:val="clear" w:fill="FFFFFF"/>
        </w:rPr>
        <w:t>  </w:t>
      </w:r>
    </w:p>
    <w:p>
      <w:pPr>
        <w:pStyle w:val="16"/>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电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 xml:space="preserve"> 话：</w:t>
      </w:r>
      <w:r>
        <w:rPr>
          <w:rFonts w:hint="eastAsia" w:ascii="宋体" w:hAnsi="宋体" w:cs="宋体"/>
          <w:b/>
          <w:color w:val="000000"/>
          <w:sz w:val="24"/>
          <w:szCs w:val="24"/>
          <w:u w:val="single"/>
          <w:lang w:val="en-US" w:eastAsia="zh-CN"/>
        </w:rPr>
        <w:t>17871031619</w:t>
      </w:r>
    </w:p>
    <w:p>
      <w:pPr>
        <w:pStyle w:val="16"/>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 </w:t>
      </w:r>
    </w:p>
    <w:p>
      <w:pPr>
        <w:pStyle w:val="16"/>
        <w:keepNext w:val="0"/>
        <w:keepLines w:val="0"/>
        <w:widowControl/>
        <w:suppressLineNumbers w:val="0"/>
        <w:spacing w:before="0" w:beforeAutospacing="0" w:after="0" w:afterAutospacing="0" w:line="360" w:lineRule="auto"/>
        <w:ind w:left="0" w:right="0" w:firstLine="480"/>
        <w:jc w:val="right"/>
        <w:rPr>
          <w:rFonts w:hint="eastAsia" w:ascii="宋体" w:hAnsi="宋体" w:cs="宋体"/>
          <w:color w:val="auto"/>
          <w:sz w:val="24"/>
          <w:szCs w:val="24"/>
          <w:shd w:val="clear" w:fill="FFFFFF"/>
          <w:lang w:eastAsia="zh-CN"/>
        </w:rPr>
      </w:pPr>
      <w:r>
        <w:rPr>
          <w:rFonts w:hint="eastAsia" w:ascii="宋体" w:hAnsi="宋体" w:cs="宋体"/>
          <w:color w:val="auto"/>
          <w:sz w:val="24"/>
          <w:szCs w:val="24"/>
          <w:shd w:val="clear" w:fill="FFFFFF"/>
          <w:lang w:eastAsia="zh-CN"/>
        </w:rPr>
        <w:t>深圳群伦项目管理有限公司</w:t>
      </w:r>
    </w:p>
    <w:p>
      <w:pPr>
        <w:pStyle w:val="16"/>
        <w:keepNext w:val="0"/>
        <w:keepLines w:val="0"/>
        <w:widowControl/>
        <w:suppressLineNumbers w:val="0"/>
        <w:spacing w:before="0" w:beforeAutospacing="0" w:after="0" w:afterAutospacing="0" w:line="360" w:lineRule="auto"/>
        <w:ind w:left="0" w:right="0" w:firstLine="480"/>
        <w:jc w:val="right"/>
      </w:pP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9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cs="宋体"/>
          <w:color w:val="auto"/>
          <w:sz w:val="24"/>
          <w:szCs w:val="24"/>
          <w:u w:val="single"/>
          <w:shd w:val="clear" w:fill="FFFFFF"/>
          <w:lang w:val="en-US" w:eastAsia="zh-CN"/>
        </w:rPr>
        <w:t xml:space="preserve">  4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p>
    <w:p>
      <w:pPr>
        <w:pStyle w:val="16"/>
        <w:keepNext w:val="0"/>
        <w:keepLines w:val="0"/>
        <w:widowControl/>
        <w:suppressLineNumbers w:val="0"/>
        <w:spacing w:before="0" w:beforeAutospacing="0" w:after="0" w:afterAutospacing="0" w:line="360" w:lineRule="auto"/>
        <w:ind w:left="0" w:right="0" w:firstLine="480"/>
        <w:jc w:val="right"/>
        <w:rPr>
          <w:rFonts w:hint="eastAsia" w:ascii="宋体" w:hAnsi="宋体" w:cs="宋体"/>
          <w:color w:val="auto"/>
          <w:sz w:val="24"/>
          <w:szCs w:val="24"/>
          <w:shd w:val="clear" w:fill="FFFFFF"/>
          <w:lang w:eastAsia="zh-CN"/>
        </w:rPr>
      </w:pPr>
    </w:p>
    <w:p>
      <w:pPr>
        <w:pStyle w:val="3"/>
        <w:numPr>
          <w:ilvl w:val="0"/>
          <w:numId w:val="1"/>
        </w:numPr>
        <w:spacing w:before="240" w:after="120"/>
        <w:ind w:left="883" w:hanging="880" w:hangingChars="200"/>
        <w:jc w:val="center"/>
        <w:rPr>
          <w:rFonts w:ascii="黑体" w:hAnsi="黑体" w:eastAsia="黑体"/>
          <w:highlight w:val="none"/>
        </w:rPr>
      </w:pPr>
      <w:bookmarkStart w:id="1" w:name="_Toc495861518"/>
      <w:r>
        <w:rPr>
          <w:rFonts w:hint="eastAsia" w:ascii="黑体" w:hAnsi="黑体" w:eastAsia="黑体"/>
          <w:highlight w:val="none"/>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highlight w:val="none"/>
          <w:lang w:val="zh-CN"/>
        </w:rPr>
      </w:pPr>
      <w:bookmarkStart w:id="2" w:name="_Toc495861519"/>
      <w:bookmarkStart w:id="3" w:name="_Toc494561937"/>
      <w:r>
        <w:rPr>
          <w:rFonts w:cs="Times New Roman" w:asciiTheme="majorEastAsia" w:hAnsiTheme="majorEastAsia" w:eastAsiaTheme="majorEastAsia"/>
          <w:b/>
          <w:bCs/>
          <w:sz w:val="32"/>
          <w:szCs w:val="32"/>
          <w:highlight w:val="none"/>
          <w:lang w:val="zh-CN"/>
        </w:rPr>
        <w:t>投标须知前附表</w:t>
      </w:r>
      <w:bookmarkEnd w:id="2"/>
      <w:bookmarkEnd w:id="3"/>
    </w:p>
    <w:tbl>
      <w:tblPr>
        <w:tblStyle w:val="18"/>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highlight w:val="none"/>
              </w:rPr>
            </w:pPr>
            <w:r>
              <w:rPr>
                <w:rFonts w:ascii="宋体" w:hAnsi="宋体" w:eastAsia="宋体" w:cs="Times New Roman"/>
                <w:b/>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highlight w:val="none"/>
              </w:rPr>
            </w:pPr>
            <w:r>
              <w:rPr>
                <w:rFonts w:hint="eastAsia" w:ascii="Times New Roman" w:hAnsi="宋体" w:eastAsia="宋体" w:cs="Times New Roman"/>
                <w:b/>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highlight w:val="none"/>
              </w:rPr>
            </w:pPr>
            <w:r>
              <w:rPr>
                <w:rFonts w:ascii="Times New Roman" w:hAnsi="宋体" w:eastAsia="宋体" w:cs="Times New Roman"/>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 xml:space="preserve">131-2020CG-162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highlight w:val="none"/>
                <w:lang w:eastAsia="zh-CN"/>
              </w:rPr>
            </w:pPr>
            <w:r>
              <w:rPr>
                <w:rFonts w:hint="eastAsia" w:ascii="Times New Roman" w:hAnsi="Times New Roman" w:eastAsia="宋体" w:cs="Times New Roman"/>
                <w:color w:val="auto"/>
                <w:sz w:val="24"/>
                <w:szCs w:val="24"/>
                <w:highlight w:val="none"/>
                <w:lang w:eastAsia="zh-CN"/>
              </w:rPr>
              <w:t>阳新县人民医院彩色多普勒超声诊断系统采购项目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highlight w:val="none"/>
              </w:rPr>
            </w:pPr>
            <w:r>
              <w:rPr>
                <w:rFonts w:hint="eastAsia" w:ascii="宋体" w:hAnsi="宋体" w:eastAsia="宋体" w:cs="宋体"/>
                <w:color w:val="auto"/>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宋体" w:hAnsi="宋体" w:eastAsia="宋体" w:cs="宋体"/>
                <w:bCs/>
                <w:color w:val="auto"/>
                <w:kern w:val="0"/>
                <w:sz w:val="24"/>
                <w:szCs w:val="24"/>
                <w:highlight w:val="none"/>
                <w:u w:val="none"/>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highlight w:val="none"/>
              </w:rPr>
            </w:pPr>
            <w:r>
              <w:rPr>
                <w:rFonts w:hint="eastAsia" w:ascii="Times New Roman" w:hAnsi="宋体"/>
                <w:b/>
                <w:bCs/>
                <w:color w:val="auto"/>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保证金</w:t>
            </w:r>
            <w:r>
              <w:rPr>
                <w:rFonts w:hint="eastAsia" w:ascii="Times New Roman" w:hAnsi="宋体" w:eastAsia="宋体" w:cs="Times New Roman"/>
                <w:sz w:val="24"/>
                <w:szCs w:val="24"/>
                <w:highlight w:val="none"/>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正本</w:t>
            </w:r>
            <w:r>
              <w:rPr>
                <w:rFonts w:hint="eastAsia" w:ascii="Times New Roman" w:hAnsi="Times New Roman" w:eastAsia="宋体" w:cs="Times New Roman"/>
                <w:color w:val="auto"/>
                <w:sz w:val="24"/>
                <w:szCs w:val="24"/>
                <w:highlight w:val="none"/>
              </w:rPr>
              <w:t>一</w:t>
            </w:r>
            <w:r>
              <w:rPr>
                <w:rFonts w:ascii="Times New Roman" w:hAnsi="Times New Roman" w:eastAsia="宋体" w:cs="Times New Roman"/>
                <w:color w:val="auto"/>
                <w:sz w:val="24"/>
                <w:szCs w:val="24"/>
                <w:highlight w:val="none"/>
              </w:rPr>
              <w:t>份</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副本</w:t>
            </w:r>
            <w:r>
              <w:rPr>
                <w:rFonts w:hint="eastAsia" w:ascii="Times New Roman" w:hAnsi="Times New Roman" w:eastAsia="宋体" w:cs="Times New Roman"/>
                <w:color w:val="auto"/>
                <w:sz w:val="24"/>
                <w:szCs w:val="24"/>
                <w:highlight w:val="none"/>
              </w:rPr>
              <w:t>四</w:t>
            </w:r>
            <w:r>
              <w:rPr>
                <w:rFonts w:ascii="Times New Roman" w:hAnsi="Times New Roman" w:eastAsia="宋体" w:cs="Times New Roman"/>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宋体" w:hAnsi="宋体" w:eastAsia="宋体" w:cs="宋体"/>
                <w:color w:val="auto"/>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开标时间</w:t>
            </w:r>
            <w:r>
              <w:rPr>
                <w:rFonts w:hint="eastAsia" w:ascii="Times New Roman" w:hAnsi="宋体" w:eastAsia="宋体" w:cs="Times New Roman"/>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不允许</w:t>
            </w:r>
          </w:p>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不提交</w:t>
            </w:r>
          </w:p>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宋体" w:hAnsi="宋体" w:eastAsia="宋体" w:cs="宋体"/>
                <w:color w:val="000000"/>
                <w:sz w:val="24"/>
                <w:szCs w:val="24"/>
                <w:highlight w:val="none"/>
              </w:rPr>
              <w:t>现</w:t>
            </w:r>
            <w:r>
              <w:rPr>
                <w:rFonts w:hint="eastAsia" w:ascii="宋体" w:hAnsi="宋体" w:eastAsia="宋体" w:cs="宋体"/>
                <w:sz w:val="24"/>
                <w:szCs w:val="24"/>
                <w:highlight w:val="none"/>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不组织</w:t>
            </w:r>
          </w:p>
          <w:p>
            <w:pPr>
              <w:ind w:right="-105" w:rightChars="-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不允许</w:t>
            </w:r>
          </w:p>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详见第三章“</w:t>
            </w:r>
            <w:r>
              <w:rPr>
                <w:rFonts w:hint="eastAsia" w:ascii="宋体" w:hAnsi="宋体" w:eastAsia="宋体" w:cs="Times New Roman"/>
                <w:color w:val="auto"/>
                <w:sz w:val="24"/>
                <w:szCs w:val="24"/>
                <w:highlight w:val="none"/>
              </w:rPr>
              <w:t>项目技术、服务及商务要求</w:t>
            </w:r>
            <w:r>
              <w:rPr>
                <w:rFonts w:hint="eastAsia" w:ascii="Times New Roman" w:hAnsi="Times New Roman" w:eastAsia="宋体"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综合评分法</w:t>
            </w:r>
          </w:p>
          <w:p>
            <w:pPr>
              <w:rPr>
                <w:rFonts w:ascii="Times New Roman" w:hAnsi="Times New Roman" w:eastAsia="宋体" w:cs="Times New Roman"/>
                <w:color w:val="auto"/>
                <w:sz w:val="24"/>
                <w:szCs w:val="24"/>
                <w:highlight w:val="none"/>
                <w:lang w:val="zh-CN"/>
              </w:rPr>
            </w:pPr>
            <w:r>
              <w:rPr>
                <w:rFonts w:hint="eastAsia" w:ascii="Times New Roman" w:hAnsi="Times New Roman" w:eastAsia="宋体" w:cs="Times New Roman"/>
                <w:color w:val="auto"/>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auto"/>
                <w:sz w:val="24"/>
                <w:szCs w:val="24"/>
                <w:highlight w:val="none"/>
              </w:rPr>
            </w:pPr>
            <w:r>
              <w:rPr>
                <w:rFonts w:hint="eastAsia" w:cs="Times New Roman" w:asciiTheme="minorEastAsia" w:hAnsiTheme="minorEastAsia"/>
                <w:color w:val="auto"/>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highlight w:val="none"/>
          <w:lang w:val="zh-CN"/>
        </w:rPr>
      </w:pPr>
      <w:bookmarkStart w:id="4" w:name="_Toc494561938"/>
      <w:r>
        <w:rPr>
          <w:rFonts w:ascii="黑体" w:hAnsi="黑体" w:eastAsia="黑体" w:cs="Times New Roman"/>
          <w:b/>
          <w:bCs/>
          <w:sz w:val="32"/>
          <w:szCs w:val="32"/>
          <w:highlight w:val="none"/>
          <w:lang w:val="zh-CN"/>
        </w:rPr>
        <w:br w:type="page"/>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C0C0C" w:themeColor="text1" w:themeTint="F2"/>
          <w:sz w:val="24"/>
          <w:szCs w:val="24"/>
          <w:u w:val="single"/>
          <w:lang w:eastAsia="zh-CN"/>
        </w:rPr>
        <w:t>深圳群伦项目管理有限公司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keepNext w:val="0"/>
        <w:keepLines w:val="0"/>
        <w:pageBreakBefore w:val="0"/>
        <w:widowControl w:val="0"/>
        <w:numPr>
          <w:ilvl w:val="0"/>
          <w:numId w:val="10"/>
        </w:numPr>
        <w:kinsoku/>
        <w:wordWrap/>
        <w:overflowPunct/>
        <w:topLinePunct w:val="0"/>
        <w:autoSpaceDE/>
        <w:autoSpaceDN/>
        <w:bidi w:val="0"/>
        <w:spacing w:line="440" w:lineRule="exact"/>
        <w:ind w:left="476" w:hanging="476"/>
        <w:textAlignment w:val="auto"/>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9"/>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Chars="0"/>
        <w:textAlignment w:val="auto"/>
        <w:rPr>
          <w:rFonts w:ascii="宋体" w:hAnsi="宋体"/>
          <w:bCs/>
          <w:sz w:val="24"/>
          <w:szCs w:val="24"/>
        </w:rPr>
      </w:pPr>
      <w:r>
        <w:rPr>
          <w:rFonts w:hint="eastAsia" w:ascii="宋体" w:hAnsi="宋体"/>
          <w:sz w:val="24"/>
          <w:szCs w:val="24"/>
        </w:rPr>
        <w:t>采购代理服务费</w:t>
      </w:r>
    </w:p>
    <w:p>
      <w:pPr>
        <w:pStyle w:val="39"/>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r>
        <w:rPr>
          <w:rFonts w:hint="eastAsia" w:ascii="宋体" w:hAnsi="宋体"/>
          <w:b/>
          <w:sz w:val="24"/>
          <w:szCs w:val="24"/>
          <w:lang w:val="en-US" w:eastAsia="zh-CN"/>
        </w:rPr>
        <w:t>4.2.1</w:t>
      </w:r>
      <w:r>
        <w:rPr>
          <w:rFonts w:hint="eastAsia" w:ascii="宋体" w:hAnsi="宋体"/>
          <w:b/>
          <w:sz w:val="24"/>
          <w:szCs w:val="24"/>
        </w:rPr>
        <w:t>经过采购代理机构与采购人协议，规定由中标单位支付。采购代理服务费收费标准如下：</w:t>
      </w:r>
    </w:p>
    <w:p>
      <w:pPr>
        <w:pStyle w:val="39"/>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p>
    <w:tbl>
      <w:tblPr>
        <w:tblStyle w:val="18"/>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Sp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Gc6zRAAAACQEAAA8AAAAAAAAAAQAgAAAAIgAAAGRy&#10;cy9kb3ducmV2LnhtbFBLAQIUABQAAAAIAIdO4kA7C16t0wEAAKUDAAAOAAAAAAAAAAEAIAAAACAB&#10;AABkcnMvZTJvRG9jLnhtbFBLBQYAAAAABgAGAFkBAABl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Sp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&#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Dxi3a7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R037VAAAACQEAAA8AAAAAAAAAAQAgAAAAIgAAAGRycy9kb3ducmV2LnhtbFBLAQIU&#10;ABQAAAAIAIdO4kDDYH2XvQEAAIgDAAAOAAAAAAAAAAEAIAAAACQBAABkcnMvZTJvRG9jLnhtbFBL&#10;BQYAAAAABgAGAFkBAABT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32</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96</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39"/>
        <w:adjustRightInd w:val="0"/>
        <w:snapToGrid w:val="0"/>
        <w:spacing w:line="300" w:lineRule="auto"/>
        <w:ind w:left="420" w:firstLine="0" w:firstLineChars="0"/>
        <w:rPr>
          <w:rFonts w:ascii="宋体" w:hAnsi="宋体"/>
          <w:b/>
          <w:sz w:val="24"/>
          <w:szCs w:val="24"/>
        </w:rPr>
      </w:pPr>
    </w:p>
    <w:p>
      <w:pPr>
        <w:pStyle w:val="39"/>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宋体" w:hAnsi="宋体"/>
          <w:b/>
          <w:sz w:val="24"/>
          <w:szCs w:val="24"/>
        </w:rPr>
      </w:pPr>
      <w:r>
        <w:rPr>
          <w:rFonts w:hint="eastAsia" w:ascii="宋体" w:hAnsi="宋体"/>
          <w:b/>
          <w:sz w:val="24"/>
          <w:szCs w:val="24"/>
          <w:lang w:val="en-US" w:eastAsia="zh-CN"/>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278891592"/>
      <w:bookmarkStart w:id="7" w:name="_Toc494561939"/>
      <w:bookmarkStart w:id="8" w:name="_Toc495861521"/>
      <w:bookmarkStart w:id="9" w:name="_Toc272247695"/>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272247696"/>
      <w:bookmarkStart w:id="12" w:name="_Toc495861522"/>
      <w:bookmarkStart w:id="13" w:name="_Toc494561940"/>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000000"/>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auto"/>
          <w:kern w:val="0"/>
          <w:sz w:val="24"/>
          <w:szCs w:val="24"/>
          <w:lang w:val="zh-CN"/>
        </w:rPr>
        <w:t>采购代理机构规定的投标地点。</w:t>
      </w:r>
    </w:p>
    <w:p>
      <w:pPr>
        <w:numPr>
          <w:ilvl w:val="0"/>
          <w:numId w:val="23"/>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auto"/>
          <w:kern w:val="0"/>
          <w:sz w:val="24"/>
          <w:szCs w:val="24"/>
          <w:lang w:val="zh-CN"/>
        </w:rPr>
        <w:t>采购代理机构</w:t>
      </w:r>
      <w:r>
        <w:rPr>
          <w:rFonts w:ascii="Helvetica" w:hAnsi="Helvetica" w:eastAsia="宋体" w:cs="Helvetica"/>
          <w:color w:val="auto"/>
          <w:kern w:val="0"/>
          <w:sz w:val="24"/>
          <w:szCs w:val="24"/>
          <w:lang w:val="zh-CN"/>
        </w:rPr>
        <w:t>收</w:t>
      </w:r>
      <w:r>
        <w:rPr>
          <w:rFonts w:ascii="Helvetica" w:hAnsi="Helvetica" w:eastAsia="宋体" w:cs="Helvetica"/>
          <w:kern w:val="0"/>
          <w:sz w:val="24"/>
          <w:szCs w:val="24"/>
          <w:lang w:val="zh-CN"/>
        </w:rPr>
        <w:t>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278891595"/>
      <w:bookmarkStart w:id="15" w:name="_Toc494561942"/>
      <w:bookmarkStart w:id="16" w:name="_Toc272247698"/>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sz w:val="24"/>
          <w:szCs w:val="20"/>
          <w:lang w:val="zh-CN"/>
        </w:rPr>
        <w:t>开标时，由投标人或其推选的代表检查投标文件的密封情况，经确</w:t>
      </w:r>
      <w:r>
        <w:rPr>
          <w:rFonts w:hint="eastAsia" w:ascii="宋体" w:hAnsi="宋体" w:eastAsia="宋体" w:cs="Times New Roman"/>
          <w:color w:val="auto"/>
          <w:sz w:val="24"/>
          <w:szCs w:val="20"/>
          <w:lang w:val="zh-CN"/>
        </w:rPr>
        <w:t>认无误后由</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w:t>
      </w:r>
      <w:r>
        <w:rPr>
          <w:rFonts w:ascii="宋体" w:hAnsi="宋体" w:eastAsia="宋体" w:cs="Times New Roman"/>
          <w:sz w:val="24"/>
          <w:szCs w:val="20"/>
          <w:lang w:val="zh-CN"/>
        </w:rPr>
        <w:t>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sz w:val="24"/>
          <w:szCs w:val="20"/>
          <w:lang w:val="zh-CN"/>
        </w:rPr>
        <w:t>投标人代表对开标过程和开标记录有疑义，</w:t>
      </w:r>
      <w:r>
        <w:rPr>
          <w:rFonts w:ascii="宋体" w:hAnsi="宋体" w:eastAsia="宋体" w:cs="Times New Roman"/>
          <w:color w:val="auto"/>
          <w:sz w:val="24"/>
          <w:szCs w:val="20"/>
          <w:lang w:val="zh-CN"/>
        </w:rPr>
        <w:t>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w:t>
      </w:r>
      <w:r>
        <w:rPr>
          <w:rFonts w:hint="eastAsia" w:cs="Helvetica" w:asciiTheme="minorEastAsia" w:hAnsiTheme="minorEastAsia"/>
          <w:color w:val="auto"/>
          <w:kern w:val="0"/>
          <w:sz w:val="24"/>
          <w:szCs w:val="24"/>
          <w:lang w:val="zh-CN"/>
        </w:rPr>
        <w:t>下，</w:t>
      </w:r>
      <w:r>
        <w:rPr>
          <w:rFonts w:hint="eastAsia" w:ascii="Helvetica" w:hAnsi="Helvetica" w:eastAsia="宋体" w:cs="Helvetica"/>
          <w:color w:val="auto"/>
          <w:kern w:val="0"/>
          <w:sz w:val="24"/>
          <w:szCs w:val="24"/>
          <w:lang w:val="zh-CN"/>
        </w:rPr>
        <w:t>采购代理机构</w:t>
      </w:r>
      <w:r>
        <w:rPr>
          <w:rFonts w:hint="eastAsia" w:cs="Helvetica" w:asciiTheme="minorEastAsia" w:hAnsiTheme="minorEastAsia"/>
          <w:color w:val="auto"/>
          <w:kern w:val="0"/>
          <w:sz w:val="24"/>
          <w:szCs w:val="24"/>
          <w:lang w:val="zh-CN"/>
        </w:rPr>
        <w:t>工作</w:t>
      </w:r>
      <w:r>
        <w:rPr>
          <w:rFonts w:hint="eastAsia" w:cs="Helvetica" w:asciiTheme="minorEastAsia" w:hAnsiTheme="minorEastAsia"/>
          <w:kern w:val="0"/>
          <w:sz w:val="24"/>
          <w:szCs w:val="24"/>
          <w:lang w:val="zh-CN"/>
        </w:rPr>
        <w:t>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5861525"/>
      <w:bookmarkStart w:id="21"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w:t>
      </w:r>
      <w:r>
        <w:rPr>
          <w:rFonts w:hint="eastAsia" w:ascii="宋体" w:hAnsi="宋体" w:eastAsia="宋体" w:cs="Times New Roman"/>
          <w:color w:val="auto"/>
          <w:sz w:val="24"/>
          <w:szCs w:val="20"/>
          <w:lang w:val="zh-CN"/>
        </w:rPr>
        <w:t>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sz w:val="24"/>
          <w:szCs w:val="20"/>
          <w:lang w:val="zh-CN"/>
        </w:rPr>
        <w:t>投标人未按本章“质疑及提交”规定的时限、内容及方式进行质疑的，</w:t>
      </w:r>
      <w:r>
        <w:rPr>
          <w:rFonts w:hint="eastAsia" w:ascii="宋体" w:hAnsi="宋体" w:eastAsia="宋体" w:cs="Times New Roman"/>
          <w:color w:val="auto"/>
          <w:sz w:val="24"/>
          <w:szCs w:val="20"/>
          <w:lang w:val="zh-CN"/>
        </w:rPr>
        <w:t>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494561949"/>
      <w:bookmarkStart w:id="33" w:name="_Toc278891598"/>
      <w:bookmarkStart w:id="34" w:name="_Toc495861530"/>
      <w:bookmarkStart w:id="35" w:name="_Toc272247701"/>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278891599"/>
      <w:bookmarkStart w:id="38" w:name="_Toc495861531"/>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w:t>
      </w:r>
      <w:r>
        <w:rPr>
          <w:rFonts w:hint="eastAsia" w:ascii="宋体" w:hAnsi="宋体" w:eastAsia="宋体" w:cs="Times New Roman"/>
          <w:color w:val="auto"/>
          <w:sz w:val="24"/>
          <w:szCs w:val="20"/>
          <w:lang w:val="zh-CN"/>
        </w:rPr>
        <w:t>权为采购人、采购代理机构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彩色多普勒超声诊断系统技术要求和规格</w:t>
      </w:r>
    </w:p>
    <w:p>
      <w:pPr>
        <w:keepNext w:val="0"/>
        <w:keepLines w:val="0"/>
        <w:pageBreakBefore w:val="0"/>
        <w:widowControl w:val="0"/>
        <w:numPr>
          <w:ilvl w:val="0"/>
          <w:numId w:val="38"/>
        </w:numPr>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采购清单</w:t>
      </w:r>
    </w:p>
    <w:tbl>
      <w:tblPr>
        <w:tblStyle w:val="19"/>
        <w:tblpPr w:leftFromText="180" w:rightFromText="180" w:vertAnchor="text" w:horzAnchor="page" w:tblpX="1395" w:tblpY="348"/>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828"/>
        <w:gridCol w:w="822"/>
        <w:gridCol w:w="85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9"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 xml:space="preserve">序号 </w:t>
            </w:r>
          </w:p>
        </w:tc>
        <w:tc>
          <w:tcPr>
            <w:tcW w:w="4828"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822"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853"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19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9"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828"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b/>
                <w:bCs/>
                <w:sz w:val="24"/>
                <w:szCs w:val="24"/>
              </w:rPr>
              <w:t>超高端心血管彩色多普勒超声波诊断仪</w:t>
            </w:r>
          </w:p>
        </w:tc>
        <w:tc>
          <w:tcPr>
            <w:tcW w:w="822"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53"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195" w:type="dxa"/>
            <w:vAlign w:val="center"/>
          </w:tcPr>
          <w:p>
            <w:pPr>
              <w:jc w:val="center"/>
              <w:rPr>
                <w:rFonts w:hint="eastAsia" w:ascii="宋体" w:hAnsi="宋体" w:eastAsia="宋体" w:cs="宋体"/>
                <w:sz w:val="24"/>
                <w:szCs w:val="24"/>
                <w:lang w:val="zh-CN"/>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eastAsia="zh-CN"/>
        </w:rPr>
        <w:t>二、技术、服务要求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设备用途及说明：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成人心脏、小儿及新生儿心脏和胎儿心脏超声临床诊断应用和相关科研为主；并支持经食管超声心动图成像；覆盖外周血管、腹部、妇产科/盆腔、泌尿系统和前列腺、浅表组织与小器官、儿科、经颅超声、肌骨、体腔超声(经阴道/经直肠)、术中等介入超声等检查全面应用，具备啮齿类动物心脏定量分析专业软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可支持升级为四维超声心动图系统。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必须提供厂家的最高型号和最新版本。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主要规格及系统概述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2.1    </w:t>
      </w:r>
      <w:r>
        <w:rPr>
          <w:rFonts w:hint="eastAsia" w:ascii="宋体" w:hAnsi="宋体" w:eastAsia="宋体" w:cs="宋体"/>
          <w:b/>
          <w:bCs/>
          <w:sz w:val="24"/>
          <w:szCs w:val="24"/>
        </w:rPr>
        <w:t>彩色多普勒超声波诊断仪包括：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显示器: ≥22英寸、有机自发光显示器（OLED）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.1.2</w:t>
      </w:r>
      <w:r>
        <w:rPr>
          <w:rFonts w:hint="eastAsia" w:ascii="宋体" w:hAnsi="宋体" w:eastAsia="宋体" w:cs="宋体"/>
          <w:sz w:val="24"/>
          <w:szCs w:val="24"/>
        </w:rPr>
        <w:tab/>
      </w:r>
      <w:r>
        <w:rPr>
          <w:rFonts w:hint="eastAsia" w:ascii="宋体" w:hAnsi="宋体" w:eastAsia="宋体" w:cs="宋体"/>
          <w:sz w:val="24"/>
          <w:szCs w:val="24"/>
        </w:rPr>
        <w:t>具有12英寸超高分辨率、多点触控彩色触摸屏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rPr>
        <w:t>操作平台电动控制，可在上下/左右/前后范围内灵活调节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.1.4</w:t>
      </w:r>
      <w:r>
        <w:rPr>
          <w:rFonts w:hint="eastAsia" w:ascii="宋体" w:hAnsi="宋体" w:eastAsia="宋体" w:cs="宋体"/>
          <w:sz w:val="24"/>
          <w:szCs w:val="24"/>
        </w:rPr>
        <w:tab/>
      </w:r>
      <w:r>
        <w:rPr>
          <w:rFonts w:hint="eastAsia" w:ascii="宋体" w:hAnsi="宋体" w:eastAsia="宋体" w:cs="宋体"/>
          <w:sz w:val="24"/>
          <w:szCs w:val="24"/>
        </w:rPr>
        <w:t>具备原始数据处理能力：能对存储后的动静态图像可进一步调节增益、彩色显示、多普勒基线位置、时间轴快慢以及多普勒角度校正等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.1.5</w:t>
      </w:r>
      <w:r>
        <w:rPr>
          <w:rFonts w:hint="eastAsia" w:ascii="宋体" w:hAnsi="宋体" w:eastAsia="宋体" w:cs="宋体"/>
          <w:sz w:val="24"/>
          <w:szCs w:val="24"/>
        </w:rPr>
        <w:tab/>
      </w:r>
      <w:r>
        <w:rPr>
          <w:rFonts w:hint="eastAsia" w:ascii="宋体" w:hAnsi="宋体" w:eastAsia="宋体" w:cs="宋体"/>
          <w:sz w:val="24"/>
          <w:szCs w:val="24"/>
        </w:rPr>
        <w:t>动态宽波束发射与接收超声信号，采用整场空间像素成像原理成像，一次性成像，无需调节焦点位置和数目，图像区域无聚焦点或聚焦带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智能像素优化技术：提高图像整体空间分辨率、对比分辨率和信噪比。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.1.7</w:t>
      </w:r>
      <w:r>
        <w:rPr>
          <w:rFonts w:hint="eastAsia" w:ascii="宋体" w:hAnsi="宋体" w:eastAsia="宋体" w:cs="宋体"/>
          <w:sz w:val="24"/>
          <w:szCs w:val="24"/>
        </w:rPr>
        <w:tab/>
      </w:r>
      <w:r>
        <w:rPr>
          <w:rFonts w:hint="eastAsia" w:ascii="宋体" w:hAnsi="宋体" w:eastAsia="宋体" w:cs="宋体"/>
          <w:sz w:val="24"/>
          <w:szCs w:val="24"/>
        </w:rPr>
        <w:t>特殊探头技术：具有面阵技术、声能放大、单晶体以及精准温控探头技术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w:t>
      </w:r>
      <w:r>
        <w:rPr>
          <w:rFonts w:hint="eastAsia" w:ascii="宋体" w:hAnsi="宋体" w:eastAsia="宋体" w:cs="宋体"/>
          <w:sz w:val="24"/>
          <w:szCs w:val="24"/>
        </w:rPr>
        <w:tab/>
      </w:r>
      <w:r>
        <w:rPr>
          <w:rFonts w:hint="eastAsia" w:ascii="宋体" w:hAnsi="宋体" w:eastAsia="宋体" w:cs="宋体"/>
          <w:b/>
          <w:bCs/>
          <w:sz w:val="24"/>
          <w:szCs w:val="24"/>
        </w:rPr>
        <w:t>二维灰阶成像单元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.1.8.1</w:t>
      </w:r>
      <w:r>
        <w:rPr>
          <w:rFonts w:hint="eastAsia" w:ascii="宋体" w:hAnsi="宋体" w:eastAsia="宋体" w:cs="宋体"/>
          <w:sz w:val="24"/>
          <w:szCs w:val="24"/>
        </w:rPr>
        <w:tab/>
      </w:r>
      <w:r>
        <w:rPr>
          <w:rFonts w:hint="eastAsia" w:ascii="宋体" w:hAnsi="宋体" w:eastAsia="宋体" w:cs="宋体"/>
          <w:sz w:val="24"/>
          <w:szCs w:val="24"/>
        </w:rPr>
        <w:t>所有探头均为宽频、多点变频探头，基波频率、基波与谐波成像频率必须具体在屏幕上显示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.1.8.2</w:t>
      </w:r>
      <w:r>
        <w:rPr>
          <w:rFonts w:hint="eastAsia" w:ascii="宋体" w:hAnsi="宋体" w:eastAsia="宋体" w:cs="宋体"/>
          <w:sz w:val="24"/>
          <w:szCs w:val="24"/>
        </w:rPr>
        <w:tab/>
      </w:r>
      <w:r>
        <w:rPr>
          <w:rFonts w:hint="eastAsia" w:ascii="宋体" w:hAnsi="宋体" w:eastAsia="宋体" w:cs="宋体"/>
          <w:sz w:val="24"/>
          <w:szCs w:val="24"/>
        </w:rPr>
        <w:t>超清斑点噪声抑制技术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.1.8.3</w:t>
      </w:r>
      <w:r>
        <w:rPr>
          <w:rFonts w:hint="eastAsia" w:ascii="宋体" w:hAnsi="宋体" w:eastAsia="宋体" w:cs="宋体"/>
          <w:sz w:val="24"/>
          <w:szCs w:val="24"/>
        </w:rPr>
        <w:tab/>
      </w:r>
      <w:r>
        <w:rPr>
          <w:rFonts w:hint="eastAsia" w:ascii="宋体" w:hAnsi="宋体" w:eastAsia="宋体" w:cs="宋体"/>
          <w:sz w:val="24"/>
          <w:szCs w:val="24"/>
        </w:rPr>
        <w:t>实时空间多角度复合成像，并支持彩色多普勒模式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.1.8.4</w:t>
      </w:r>
      <w:r>
        <w:rPr>
          <w:rFonts w:hint="eastAsia" w:ascii="宋体" w:hAnsi="宋体" w:eastAsia="宋体" w:cs="宋体"/>
          <w:sz w:val="24"/>
          <w:szCs w:val="24"/>
        </w:rPr>
        <w:tab/>
      </w:r>
      <w:r>
        <w:rPr>
          <w:rFonts w:hint="eastAsia" w:ascii="宋体" w:hAnsi="宋体" w:eastAsia="宋体" w:cs="宋体"/>
          <w:sz w:val="24"/>
          <w:szCs w:val="24"/>
        </w:rPr>
        <w:t>心肌增强成像技术：增强心肌细节结构的显示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w:t>
      </w:r>
      <w:r>
        <w:rPr>
          <w:rFonts w:hint="eastAsia" w:ascii="宋体" w:hAnsi="宋体" w:eastAsia="宋体" w:cs="宋体"/>
          <w:sz w:val="24"/>
          <w:szCs w:val="24"/>
          <w:lang w:val="en-US" w:eastAsia="zh-CN"/>
        </w:rPr>
        <w:t>5</w:t>
      </w:r>
      <w:r>
        <w:rPr>
          <w:rFonts w:hint="eastAsia" w:ascii="宋体" w:hAnsi="宋体" w:eastAsia="宋体" w:cs="宋体"/>
          <w:sz w:val="24"/>
          <w:szCs w:val="24"/>
        </w:rPr>
        <w:tab/>
      </w:r>
      <w:r>
        <w:rPr>
          <w:rFonts w:hint="eastAsia" w:ascii="宋体" w:hAnsi="宋体" w:eastAsia="宋体" w:cs="宋体"/>
          <w:sz w:val="24"/>
          <w:szCs w:val="24"/>
        </w:rPr>
        <w:t>高清成像模式：通过双频率复合采集，提高组织分辨率和对比度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.1.8.6</w:t>
      </w:r>
      <w:r>
        <w:rPr>
          <w:rFonts w:hint="eastAsia" w:ascii="宋体" w:hAnsi="宋体" w:eastAsia="宋体" w:cs="宋体"/>
          <w:sz w:val="24"/>
          <w:szCs w:val="24"/>
        </w:rPr>
        <w:tab/>
      </w:r>
      <w:r>
        <w:rPr>
          <w:rFonts w:hint="eastAsia" w:ascii="宋体" w:hAnsi="宋体" w:eastAsia="宋体" w:cs="宋体"/>
          <w:sz w:val="24"/>
          <w:szCs w:val="24"/>
        </w:rPr>
        <w:t>复合滤波：通过复合运算，增强组织边界的显示和解剖结构的平滑度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.1.8.7</w:t>
      </w:r>
      <w:r>
        <w:rPr>
          <w:rFonts w:hint="eastAsia" w:ascii="宋体" w:hAnsi="宋体" w:eastAsia="宋体" w:cs="宋体"/>
          <w:sz w:val="24"/>
          <w:szCs w:val="24"/>
        </w:rPr>
        <w:tab/>
      </w:r>
      <w:r>
        <w:rPr>
          <w:rFonts w:hint="eastAsia" w:ascii="宋体" w:hAnsi="宋体" w:eastAsia="宋体" w:cs="宋体"/>
          <w:sz w:val="24"/>
          <w:szCs w:val="24"/>
        </w:rPr>
        <w:t>一键式实时自动连续优化图像技术，包括增益、对比度、侧向增益补偿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.1.8.8</w:t>
      </w:r>
      <w:r>
        <w:rPr>
          <w:rFonts w:hint="eastAsia" w:ascii="宋体" w:hAnsi="宋体" w:eastAsia="宋体" w:cs="宋体"/>
          <w:sz w:val="24"/>
          <w:szCs w:val="24"/>
        </w:rPr>
        <w:tab/>
      </w:r>
      <w:r>
        <w:rPr>
          <w:rFonts w:hint="eastAsia" w:ascii="宋体" w:hAnsi="宋体" w:eastAsia="宋体" w:cs="宋体"/>
          <w:sz w:val="24"/>
          <w:szCs w:val="24"/>
        </w:rPr>
        <w:t>实时宽景成像技术，可前进和后退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.1.8.9</w:t>
      </w:r>
      <w:r>
        <w:rPr>
          <w:rFonts w:hint="eastAsia" w:ascii="宋体" w:hAnsi="宋体" w:eastAsia="宋体" w:cs="宋体"/>
          <w:sz w:val="24"/>
          <w:szCs w:val="24"/>
        </w:rPr>
        <w:tab/>
      </w:r>
      <w:r>
        <w:rPr>
          <w:rFonts w:hint="eastAsia" w:ascii="宋体" w:hAnsi="宋体" w:eastAsia="宋体" w:cs="宋体"/>
          <w:sz w:val="24"/>
          <w:szCs w:val="24"/>
        </w:rPr>
        <w:t>梯形扩展成像技术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.1.8.10</w:t>
      </w:r>
      <w:r>
        <w:rPr>
          <w:rFonts w:hint="eastAsia" w:ascii="宋体" w:hAnsi="宋体" w:eastAsia="宋体" w:cs="宋体"/>
          <w:sz w:val="24"/>
          <w:szCs w:val="24"/>
        </w:rPr>
        <w:tab/>
      </w:r>
      <w:r>
        <w:rPr>
          <w:rFonts w:hint="eastAsia" w:ascii="宋体" w:hAnsi="宋体" w:eastAsia="宋体" w:cs="宋体"/>
          <w:sz w:val="24"/>
          <w:szCs w:val="24"/>
        </w:rPr>
        <w:t>心尖扩展成像：相控阵心脏探头采用凸阵扩展技术，实现心尖宽视野显示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w:t>
      </w:r>
      <w:r>
        <w:rPr>
          <w:rFonts w:hint="eastAsia" w:ascii="宋体" w:hAnsi="宋体" w:eastAsia="宋体" w:cs="宋体"/>
          <w:sz w:val="24"/>
          <w:szCs w:val="24"/>
        </w:rPr>
        <w:tab/>
      </w:r>
      <w:r>
        <w:rPr>
          <w:rFonts w:hint="eastAsia" w:ascii="宋体" w:hAnsi="宋体" w:eastAsia="宋体" w:cs="宋体"/>
          <w:b/>
          <w:bCs/>
          <w:sz w:val="24"/>
          <w:szCs w:val="24"/>
        </w:rPr>
        <w:t>彩色血流成像单元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.1.9.1</w:t>
      </w:r>
      <w:r>
        <w:rPr>
          <w:rFonts w:hint="eastAsia" w:ascii="宋体" w:hAnsi="宋体" w:eastAsia="宋体" w:cs="宋体"/>
          <w:sz w:val="24"/>
          <w:szCs w:val="24"/>
        </w:rPr>
        <w:tab/>
      </w:r>
      <w:r>
        <w:rPr>
          <w:rFonts w:hint="eastAsia" w:ascii="宋体" w:hAnsi="宋体" w:eastAsia="宋体" w:cs="宋体"/>
          <w:sz w:val="24"/>
          <w:szCs w:val="24"/>
        </w:rPr>
        <w:t>具有二维彩色模式、能量图模式、速度方差模式、彩色M型模式等多种模式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.1.9.2</w:t>
      </w:r>
      <w:r>
        <w:rPr>
          <w:rFonts w:hint="eastAsia" w:ascii="宋体" w:hAnsi="宋体" w:eastAsia="宋体" w:cs="宋体"/>
          <w:sz w:val="24"/>
          <w:szCs w:val="24"/>
        </w:rPr>
        <w:tab/>
      </w:r>
      <w:r>
        <w:rPr>
          <w:rFonts w:hint="eastAsia" w:ascii="宋体" w:hAnsi="宋体" w:eastAsia="宋体" w:cs="宋体"/>
          <w:sz w:val="24"/>
          <w:szCs w:val="24"/>
        </w:rPr>
        <w:t xml:space="preserve">具体彩色多普勒频率显示，并独立分级可调,≥8级(附频段图)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.1.9.3</w:t>
      </w:r>
      <w:r>
        <w:rPr>
          <w:rFonts w:hint="eastAsia" w:ascii="宋体" w:hAnsi="宋体" w:eastAsia="宋体" w:cs="宋体"/>
          <w:sz w:val="24"/>
          <w:szCs w:val="24"/>
        </w:rPr>
        <w:tab/>
      </w:r>
      <w:r>
        <w:rPr>
          <w:rFonts w:hint="eastAsia" w:ascii="宋体" w:hAnsi="宋体" w:eastAsia="宋体" w:cs="宋体"/>
          <w:sz w:val="24"/>
          <w:szCs w:val="24"/>
        </w:rPr>
        <w:t>二维和彩色同步双幅实时显示，亦可应用于冻结和存储的回放图像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.1.9.4</w:t>
      </w:r>
      <w:r>
        <w:rPr>
          <w:rFonts w:hint="eastAsia" w:ascii="宋体" w:hAnsi="宋体" w:eastAsia="宋体" w:cs="宋体"/>
          <w:sz w:val="24"/>
          <w:szCs w:val="24"/>
        </w:rPr>
        <w:tab/>
      </w:r>
      <w:r>
        <w:rPr>
          <w:rFonts w:hint="eastAsia" w:ascii="宋体" w:hAnsi="宋体" w:eastAsia="宋体" w:cs="宋体"/>
          <w:sz w:val="24"/>
          <w:szCs w:val="24"/>
        </w:rPr>
        <w:t>具有组织内彩色优先显示功能，以显示组织内低速血流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.1.9.5</w:t>
      </w:r>
      <w:r>
        <w:rPr>
          <w:rFonts w:hint="eastAsia" w:ascii="宋体" w:hAnsi="宋体" w:eastAsia="宋体" w:cs="宋体"/>
          <w:sz w:val="24"/>
          <w:szCs w:val="24"/>
        </w:rPr>
        <w:tab/>
      </w:r>
      <w:r>
        <w:rPr>
          <w:rFonts w:hint="eastAsia" w:ascii="宋体" w:hAnsi="宋体" w:eastAsia="宋体" w:cs="宋体"/>
          <w:sz w:val="24"/>
          <w:szCs w:val="24"/>
        </w:rPr>
        <w:t>具有彩色去除功能，能在实时、冻结、存储的图像上独立去除彩色信号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.1.9.6</w:t>
      </w:r>
      <w:r>
        <w:rPr>
          <w:rFonts w:hint="eastAsia" w:ascii="宋体" w:hAnsi="宋体" w:eastAsia="宋体" w:cs="宋体"/>
          <w:sz w:val="24"/>
          <w:szCs w:val="24"/>
        </w:rPr>
        <w:tab/>
      </w:r>
      <w:r>
        <w:rPr>
          <w:rFonts w:hint="eastAsia" w:ascii="宋体" w:hAnsi="宋体" w:eastAsia="宋体" w:cs="宋体"/>
          <w:sz w:val="24"/>
          <w:szCs w:val="24"/>
        </w:rPr>
        <w:t>能在冻结和回放的彩色模式下，再次调节彩色图谱、编码方式、方差模式、彩色/组织优先、彩色增益、彩色反转、彩色基线、彩色叠加等多项参数，应用于诊断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.1.9.7</w:t>
      </w:r>
      <w:r>
        <w:rPr>
          <w:rFonts w:hint="eastAsia" w:ascii="宋体" w:hAnsi="宋体" w:eastAsia="宋体" w:cs="宋体"/>
          <w:sz w:val="24"/>
          <w:szCs w:val="24"/>
        </w:rPr>
        <w:tab/>
      </w:r>
      <w:r>
        <w:rPr>
          <w:rFonts w:hint="eastAsia" w:ascii="宋体" w:hAnsi="宋体" w:eastAsia="宋体" w:cs="宋体"/>
          <w:sz w:val="24"/>
          <w:szCs w:val="24"/>
        </w:rPr>
        <w:t>彩色帧频可独立调节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.1.9.8</w:t>
      </w:r>
      <w:r>
        <w:rPr>
          <w:rFonts w:hint="eastAsia" w:ascii="宋体" w:hAnsi="宋体" w:eastAsia="宋体" w:cs="宋体"/>
          <w:sz w:val="24"/>
          <w:szCs w:val="24"/>
        </w:rPr>
        <w:tab/>
      </w:r>
      <w:r>
        <w:rPr>
          <w:rFonts w:hint="eastAsia" w:ascii="宋体" w:hAnsi="宋体" w:eastAsia="宋体" w:cs="宋体"/>
          <w:sz w:val="24"/>
          <w:szCs w:val="24"/>
        </w:rPr>
        <w:t>二维灰阶血流显像：非多普勒原理，直接提取微弱的血细胞回声进行成像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.1.9.9</w:t>
      </w:r>
      <w:r>
        <w:rPr>
          <w:rFonts w:hint="eastAsia" w:ascii="宋体" w:hAnsi="宋体" w:eastAsia="宋体" w:cs="宋体"/>
          <w:sz w:val="24"/>
          <w:szCs w:val="24"/>
        </w:rPr>
        <w:tab/>
      </w:r>
      <w:r>
        <w:rPr>
          <w:rFonts w:hint="eastAsia" w:ascii="宋体" w:hAnsi="宋体" w:eastAsia="宋体" w:cs="宋体"/>
          <w:sz w:val="24"/>
          <w:szCs w:val="24"/>
        </w:rPr>
        <w:t>方向性灰阶血流显像：基于灰阶血流信号的彩色血流方向性显示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.1.9.10</w:t>
      </w:r>
      <w:r>
        <w:rPr>
          <w:rFonts w:hint="eastAsia" w:ascii="宋体" w:hAnsi="宋体" w:eastAsia="宋体" w:cs="宋体"/>
          <w:sz w:val="24"/>
          <w:szCs w:val="24"/>
        </w:rPr>
        <w:tab/>
      </w:r>
      <w:r>
        <w:rPr>
          <w:rFonts w:hint="eastAsia" w:ascii="宋体" w:hAnsi="宋体" w:eastAsia="宋体" w:cs="宋体"/>
          <w:sz w:val="24"/>
          <w:szCs w:val="24"/>
        </w:rPr>
        <w:t>具有内置原厂冠脉血流显像软件，能有效去除心腔彩色噪音，显示冠脉血流信号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w:t>
      </w:r>
      <w:r>
        <w:rPr>
          <w:rFonts w:hint="eastAsia" w:ascii="宋体" w:hAnsi="宋体" w:eastAsia="宋体" w:cs="宋体"/>
          <w:sz w:val="24"/>
          <w:szCs w:val="24"/>
        </w:rPr>
        <w:tab/>
      </w:r>
      <w:r>
        <w:rPr>
          <w:rFonts w:hint="eastAsia" w:ascii="宋体" w:hAnsi="宋体" w:eastAsia="宋体" w:cs="宋体"/>
          <w:b/>
          <w:bCs/>
          <w:sz w:val="24"/>
          <w:szCs w:val="24"/>
        </w:rPr>
        <w:t>频谱多普勒显示单元及分析系统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.1.10.1</w:t>
      </w:r>
      <w:r>
        <w:rPr>
          <w:rFonts w:hint="eastAsia" w:ascii="宋体" w:hAnsi="宋体" w:eastAsia="宋体" w:cs="宋体"/>
          <w:sz w:val="24"/>
          <w:szCs w:val="24"/>
        </w:rPr>
        <w:tab/>
      </w:r>
      <w:r>
        <w:rPr>
          <w:rFonts w:hint="eastAsia" w:ascii="宋体" w:hAnsi="宋体" w:eastAsia="宋体" w:cs="宋体"/>
          <w:sz w:val="24"/>
          <w:szCs w:val="24"/>
        </w:rPr>
        <w:t>具有PW、CW、HPRF、LPRF等多种模式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.1.10.2</w:t>
      </w:r>
      <w:r>
        <w:rPr>
          <w:rFonts w:hint="eastAsia" w:ascii="宋体" w:hAnsi="宋体" w:eastAsia="宋体" w:cs="宋体"/>
          <w:sz w:val="24"/>
          <w:szCs w:val="24"/>
        </w:rPr>
        <w:tab/>
      </w:r>
      <w:r>
        <w:rPr>
          <w:rFonts w:hint="eastAsia" w:ascii="宋体" w:hAnsi="宋体" w:eastAsia="宋体" w:cs="宋体"/>
          <w:sz w:val="24"/>
          <w:szCs w:val="24"/>
        </w:rPr>
        <w:t>HPRF高脉冲重复频率自动启动功能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.1.10.3</w:t>
      </w:r>
      <w:r>
        <w:rPr>
          <w:rFonts w:hint="eastAsia" w:ascii="宋体" w:hAnsi="宋体" w:eastAsia="宋体" w:cs="宋体"/>
          <w:sz w:val="24"/>
          <w:szCs w:val="24"/>
        </w:rPr>
        <w:tab/>
      </w:r>
      <w:r>
        <w:rPr>
          <w:rFonts w:hint="eastAsia" w:ascii="宋体" w:hAnsi="宋体" w:eastAsia="宋体" w:cs="宋体"/>
          <w:sz w:val="24"/>
          <w:szCs w:val="24"/>
        </w:rPr>
        <w:t>多普勒频率显示、独立可调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.1.10.4</w:t>
      </w:r>
      <w:r>
        <w:rPr>
          <w:rFonts w:hint="eastAsia" w:ascii="宋体" w:hAnsi="宋体" w:eastAsia="宋体" w:cs="宋体"/>
          <w:sz w:val="24"/>
          <w:szCs w:val="24"/>
        </w:rPr>
        <w:tab/>
      </w:r>
      <w:r>
        <w:rPr>
          <w:rFonts w:hint="eastAsia" w:ascii="宋体" w:hAnsi="宋体" w:eastAsia="宋体" w:cs="宋体"/>
          <w:sz w:val="24"/>
          <w:szCs w:val="24"/>
        </w:rPr>
        <w:t>自动频谱优化技术，一键控制，自动调整频谱至最佳范围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.1.10.5</w:t>
      </w:r>
      <w:r>
        <w:rPr>
          <w:rFonts w:hint="eastAsia" w:ascii="宋体" w:hAnsi="宋体" w:eastAsia="宋体" w:cs="宋体"/>
          <w:sz w:val="24"/>
          <w:szCs w:val="24"/>
        </w:rPr>
        <w:tab/>
      </w:r>
      <w:r>
        <w:rPr>
          <w:rFonts w:hint="eastAsia" w:ascii="宋体" w:hAnsi="宋体" w:eastAsia="宋体" w:cs="宋体"/>
          <w:sz w:val="24"/>
          <w:szCs w:val="24"/>
        </w:rPr>
        <w:t>高性能实时双同步、三同步功能，随时可切换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.1.10.6</w:t>
      </w:r>
      <w:r>
        <w:rPr>
          <w:rFonts w:hint="eastAsia" w:ascii="宋体" w:hAnsi="宋体" w:eastAsia="宋体" w:cs="宋体"/>
          <w:sz w:val="24"/>
          <w:szCs w:val="24"/>
        </w:rPr>
        <w:tab/>
      </w:r>
      <w:r>
        <w:rPr>
          <w:rFonts w:hint="eastAsia" w:ascii="宋体" w:hAnsi="宋体" w:eastAsia="宋体" w:cs="宋体"/>
          <w:sz w:val="24"/>
          <w:szCs w:val="24"/>
        </w:rPr>
        <w:t>自动角度纠正功能，以适应不同角度血管检测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.1.10.7</w:t>
      </w:r>
      <w:r>
        <w:rPr>
          <w:rFonts w:hint="eastAsia" w:ascii="宋体" w:hAnsi="宋体" w:eastAsia="宋体" w:cs="宋体"/>
          <w:sz w:val="24"/>
          <w:szCs w:val="24"/>
        </w:rPr>
        <w:tab/>
      </w:r>
      <w:r>
        <w:rPr>
          <w:rFonts w:hint="eastAsia" w:ascii="宋体" w:hAnsi="宋体" w:eastAsia="宋体" w:cs="宋体"/>
          <w:sz w:val="24"/>
          <w:szCs w:val="24"/>
        </w:rPr>
        <w:t>实时扫描中的图像参数调节，包括增益、基线位置、时间轴快慢、角度校正、噪音抑制、对比度、彩色图谱等的调节，也同样能应用于已经冻结或存储后的图像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.1.10.8</w:t>
      </w:r>
      <w:r>
        <w:rPr>
          <w:rFonts w:hint="eastAsia" w:ascii="宋体" w:hAnsi="宋体" w:eastAsia="宋体" w:cs="宋体"/>
          <w:sz w:val="24"/>
          <w:szCs w:val="24"/>
        </w:rPr>
        <w:tab/>
      </w:r>
      <w:r>
        <w:rPr>
          <w:rFonts w:hint="eastAsia" w:ascii="宋体" w:hAnsi="宋体" w:eastAsia="宋体" w:cs="宋体"/>
          <w:sz w:val="24"/>
          <w:szCs w:val="24"/>
        </w:rPr>
        <w:t>频谱自动分析系统：包括实时自动包络、冻结后自动包络、手动包络；自动计算各血流动力学参数，参数可根据客户需要灵活选择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.1.10.9</w:t>
      </w:r>
      <w:r>
        <w:rPr>
          <w:rFonts w:hint="eastAsia" w:ascii="宋体" w:hAnsi="宋体" w:eastAsia="宋体" w:cs="宋体"/>
          <w:sz w:val="24"/>
          <w:szCs w:val="24"/>
        </w:rPr>
        <w:tab/>
      </w:r>
      <w:r>
        <w:rPr>
          <w:rFonts w:hint="eastAsia" w:ascii="宋体" w:hAnsi="宋体" w:eastAsia="宋体" w:cs="宋体"/>
          <w:sz w:val="24"/>
          <w:szCs w:val="24"/>
        </w:rPr>
        <w:t>心脏频谱自动测量：可对心脏瓣膜彩色血流频谱及组织多普勒频谱进行多个心动周期的识别并命名，同时进行自动测量并将结果导入到报告系统（包括：E峰、A峰、EDT、E’、E/E’、AV Trace等参数）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w:t>
      </w:r>
      <w:r>
        <w:rPr>
          <w:rFonts w:hint="eastAsia" w:ascii="宋体" w:hAnsi="宋体" w:eastAsia="宋体" w:cs="宋体"/>
          <w:sz w:val="24"/>
          <w:szCs w:val="24"/>
        </w:rPr>
        <w:tab/>
      </w:r>
      <w:r>
        <w:rPr>
          <w:rFonts w:hint="eastAsia" w:ascii="宋体" w:hAnsi="宋体" w:eastAsia="宋体" w:cs="宋体"/>
          <w:b/>
          <w:bCs/>
          <w:sz w:val="24"/>
          <w:szCs w:val="24"/>
        </w:rPr>
        <w:t>组织多普勒成像单元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.1.11.1</w:t>
      </w:r>
      <w:r>
        <w:rPr>
          <w:rFonts w:hint="eastAsia" w:ascii="宋体" w:hAnsi="宋体" w:eastAsia="宋体" w:cs="宋体"/>
          <w:sz w:val="24"/>
          <w:szCs w:val="24"/>
        </w:rPr>
        <w:tab/>
      </w:r>
      <w:r>
        <w:rPr>
          <w:rFonts w:hint="eastAsia" w:ascii="宋体" w:hAnsi="宋体" w:eastAsia="宋体" w:cs="宋体"/>
          <w:sz w:val="24"/>
          <w:szCs w:val="24"/>
        </w:rPr>
        <w:t>实时一键式组织速度成像、组织追踪图成像、组织同步化成像、组织应变及应变率成像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.1.11.2</w:t>
      </w:r>
      <w:r>
        <w:rPr>
          <w:rFonts w:hint="eastAsia" w:ascii="宋体" w:hAnsi="宋体" w:eastAsia="宋体" w:cs="宋体"/>
          <w:sz w:val="24"/>
          <w:szCs w:val="24"/>
        </w:rPr>
        <w:tab/>
      </w:r>
      <w:r>
        <w:rPr>
          <w:rFonts w:hint="eastAsia" w:ascii="宋体" w:hAnsi="宋体" w:eastAsia="宋体" w:cs="宋体"/>
          <w:sz w:val="24"/>
          <w:szCs w:val="24"/>
        </w:rPr>
        <w:t>具有多普勒信号去除功能，能在实时、冻结、存储的图像上独立去除组织多普勒信号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.1.11.3</w:t>
      </w:r>
      <w:r>
        <w:rPr>
          <w:rFonts w:hint="eastAsia" w:ascii="宋体" w:hAnsi="宋体" w:eastAsia="宋体" w:cs="宋体"/>
          <w:sz w:val="24"/>
          <w:szCs w:val="24"/>
        </w:rPr>
        <w:tab/>
      </w:r>
      <w:r>
        <w:rPr>
          <w:rFonts w:hint="eastAsia" w:ascii="宋体" w:hAnsi="宋体" w:eastAsia="宋体" w:cs="宋体"/>
          <w:sz w:val="24"/>
          <w:szCs w:val="24"/>
        </w:rPr>
        <w:t>组织多普勒信号可直接转换为组织追踪图、组织同步化图、应变图和应变率图。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.1.11.4</w:t>
      </w:r>
      <w:r>
        <w:rPr>
          <w:rFonts w:hint="eastAsia" w:ascii="宋体" w:hAnsi="宋体" w:eastAsia="宋体" w:cs="宋体"/>
          <w:sz w:val="24"/>
          <w:szCs w:val="24"/>
        </w:rPr>
        <w:tab/>
      </w:r>
      <w:r>
        <w:rPr>
          <w:rFonts w:hint="eastAsia" w:ascii="宋体" w:hAnsi="宋体" w:eastAsia="宋体" w:cs="宋体"/>
          <w:sz w:val="24"/>
          <w:szCs w:val="24"/>
        </w:rPr>
        <w:t>主机在线组织同步化显像，并具有心肌同步化牛眼图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.1.11.5</w:t>
      </w:r>
      <w:r>
        <w:rPr>
          <w:rFonts w:hint="eastAsia" w:ascii="宋体" w:hAnsi="宋体" w:eastAsia="宋体" w:cs="宋体"/>
          <w:sz w:val="24"/>
          <w:szCs w:val="24"/>
        </w:rPr>
        <w:tab/>
      </w:r>
      <w:r>
        <w:rPr>
          <w:rFonts w:hint="eastAsia" w:ascii="宋体" w:hAnsi="宋体" w:eastAsia="宋体" w:cs="宋体"/>
          <w:sz w:val="24"/>
          <w:szCs w:val="24"/>
        </w:rPr>
        <w:t>主机在线同时显示多个节段的心肌速度曲线、位移曲线、应变及应变率曲线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.1.11.6</w:t>
      </w:r>
      <w:r>
        <w:rPr>
          <w:rFonts w:hint="eastAsia" w:ascii="宋体" w:hAnsi="宋体" w:eastAsia="宋体" w:cs="宋体"/>
          <w:sz w:val="24"/>
          <w:szCs w:val="24"/>
        </w:rPr>
        <w:tab/>
      </w:r>
      <w:r>
        <w:rPr>
          <w:rFonts w:hint="eastAsia" w:ascii="宋体" w:hAnsi="宋体" w:eastAsia="宋体" w:cs="宋体"/>
          <w:sz w:val="24"/>
          <w:szCs w:val="24"/>
        </w:rPr>
        <w:t>定量曲线能自动导入主动脉瓣及二尖瓣开放关闭时间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.1.11.7</w:t>
      </w:r>
      <w:r>
        <w:rPr>
          <w:rFonts w:hint="eastAsia" w:ascii="宋体" w:hAnsi="宋体" w:eastAsia="宋体" w:cs="宋体"/>
          <w:sz w:val="24"/>
          <w:szCs w:val="24"/>
        </w:rPr>
        <w:tab/>
      </w:r>
      <w:r>
        <w:rPr>
          <w:rFonts w:hint="eastAsia" w:ascii="宋体" w:hAnsi="宋体" w:eastAsia="宋体" w:cs="宋体"/>
          <w:sz w:val="24"/>
          <w:szCs w:val="24"/>
        </w:rPr>
        <w:t>支持实时三平面成像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.1.12</w:t>
      </w:r>
      <w:r>
        <w:rPr>
          <w:rFonts w:hint="eastAsia" w:ascii="宋体" w:hAnsi="宋体" w:eastAsia="宋体" w:cs="宋体"/>
          <w:sz w:val="24"/>
          <w:szCs w:val="24"/>
        </w:rPr>
        <w:tab/>
      </w:r>
      <w:r>
        <w:rPr>
          <w:rFonts w:hint="eastAsia" w:ascii="宋体" w:hAnsi="宋体" w:eastAsia="宋体" w:cs="宋体"/>
          <w:b/>
          <w:bCs/>
          <w:sz w:val="24"/>
          <w:szCs w:val="24"/>
        </w:rPr>
        <w:t>组织谐波成像单元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.1.12.1</w:t>
      </w:r>
      <w:r>
        <w:rPr>
          <w:rFonts w:hint="eastAsia" w:ascii="宋体" w:hAnsi="宋体" w:eastAsia="宋体" w:cs="宋体"/>
          <w:sz w:val="24"/>
          <w:szCs w:val="24"/>
        </w:rPr>
        <w:tab/>
      </w:r>
      <w:r>
        <w:rPr>
          <w:rFonts w:hint="eastAsia" w:ascii="宋体" w:hAnsi="宋体" w:eastAsia="宋体" w:cs="宋体"/>
          <w:sz w:val="24"/>
          <w:szCs w:val="24"/>
        </w:rPr>
        <w:t>编码二次谐波技术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.1.12.2</w:t>
      </w:r>
      <w:r>
        <w:rPr>
          <w:rFonts w:hint="eastAsia" w:ascii="宋体" w:hAnsi="宋体" w:eastAsia="宋体" w:cs="宋体"/>
          <w:sz w:val="24"/>
          <w:szCs w:val="24"/>
        </w:rPr>
        <w:tab/>
      </w:r>
      <w:r>
        <w:rPr>
          <w:rFonts w:hint="eastAsia" w:ascii="宋体" w:hAnsi="宋体" w:eastAsia="宋体" w:cs="宋体"/>
          <w:sz w:val="24"/>
          <w:szCs w:val="24"/>
        </w:rPr>
        <w:t>编码脉冲反向谐波技术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.1.12.3</w:t>
      </w:r>
      <w:r>
        <w:rPr>
          <w:rFonts w:hint="eastAsia" w:ascii="宋体" w:hAnsi="宋体" w:eastAsia="宋体" w:cs="宋体"/>
          <w:sz w:val="24"/>
          <w:szCs w:val="24"/>
        </w:rPr>
        <w:tab/>
      </w:r>
      <w:r>
        <w:rPr>
          <w:rFonts w:hint="eastAsia" w:ascii="宋体" w:hAnsi="宋体" w:eastAsia="宋体" w:cs="宋体"/>
          <w:sz w:val="24"/>
          <w:szCs w:val="24"/>
        </w:rPr>
        <w:t>谐波频率和基波频率同时显示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w:t>
      </w:r>
      <w:r>
        <w:rPr>
          <w:rFonts w:hint="eastAsia" w:ascii="宋体" w:hAnsi="宋体" w:eastAsia="宋体" w:cs="宋体"/>
          <w:sz w:val="24"/>
          <w:szCs w:val="24"/>
        </w:rPr>
        <w:tab/>
      </w:r>
      <w:r>
        <w:rPr>
          <w:rFonts w:hint="eastAsia" w:ascii="宋体" w:hAnsi="宋体" w:eastAsia="宋体" w:cs="宋体"/>
          <w:b/>
          <w:bCs/>
          <w:sz w:val="24"/>
          <w:szCs w:val="24"/>
        </w:rPr>
        <w:t>超声造影成像单元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.1.13.1</w:t>
      </w:r>
      <w:r>
        <w:rPr>
          <w:rFonts w:hint="eastAsia" w:ascii="宋体" w:hAnsi="宋体" w:eastAsia="宋体" w:cs="宋体"/>
          <w:sz w:val="24"/>
          <w:szCs w:val="24"/>
        </w:rPr>
        <w:tab/>
      </w:r>
      <w:r>
        <w:rPr>
          <w:rFonts w:hint="eastAsia" w:ascii="宋体" w:hAnsi="宋体" w:eastAsia="宋体" w:cs="宋体"/>
          <w:sz w:val="24"/>
          <w:szCs w:val="24"/>
        </w:rPr>
        <w:t>编码脉冲反向谐波技术和超声调制信号用于造影剂成像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.1.13.2</w:t>
      </w:r>
      <w:r>
        <w:rPr>
          <w:rFonts w:hint="eastAsia" w:ascii="宋体" w:hAnsi="宋体" w:eastAsia="宋体" w:cs="宋体"/>
          <w:sz w:val="24"/>
          <w:szCs w:val="24"/>
        </w:rPr>
        <w:tab/>
      </w:r>
      <w:r>
        <w:rPr>
          <w:rFonts w:hint="eastAsia" w:ascii="宋体" w:hAnsi="宋体" w:eastAsia="宋体" w:cs="宋体"/>
          <w:sz w:val="24"/>
          <w:szCs w:val="24"/>
        </w:rPr>
        <w:t>支持左心室造影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.1.13.3</w:t>
      </w:r>
      <w:r>
        <w:rPr>
          <w:rFonts w:hint="eastAsia" w:ascii="宋体" w:hAnsi="宋体" w:eastAsia="宋体" w:cs="宋体"/>
          <w:sz w:val="24"/>
          <w:szCs w:val="24"/>
        </w:rPr>
        <w:tab/>
      </w:r>
      <w:r>
        <w:rPr>
          <w:rFonts w:hint="eastAsia" w:ascii="宋体" w:hAnsi="宋体" w:eastAsia="宋体" w:cs="宋体"/>
          <w:sz w:val="24"/>
          <w:szCs w:val="24"/>
        </w:rPr>
        <w:t>支持血管/腹部造影成像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.1.13.4</w:t>
      </w:r>
      <w:r>
        <w:rPr>
          <w:rFonts w:hint="eastAsia" w:ascii="宋体" w:hAnsi="宋体" w:eastAsia="宋体" w:cs="宋体"/>
          <w:sz w:val="24"/>
          <w:szCs w:val="24"/>
        </w:rPr>
        <w:tab/>
      </w:r>
      <w:r>
        <w:rPr>
          <w:rFonts w:hint="eastAsia" w:ascii="宋体" w:hAnsi="宋体" w:eastAsia="宋体" w:cs="宋体"/>
          <w:sz w:val="24"/>
          <w:szCs w:val="24"/>
        </w:rPr>
        <w:t>支持低机械指数的心肌灌注造影成像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.1.13.5</w:t>
      </w:r>
      <w:r>
        <w:rPr>
          <w:rFonts w:hint="eastAsia" w:ascii="宋体" w:hAnsi="宋体" w:eastAsia="宋体" w:cs="宋体"/>
          <w:sz w:val="24"/>
          <w:szCs w:val="24"/>
        </w:rPr>
        <w:tab/>
      </w:r>
      <w:r>
        <w:rPr>
          <w:rFonts w:hint="eastAsia" w:ascii="宋体" w:hAnsi="宋体" w:eastAsia="宋体" w:cs="宋体"/>
          <w:sz w:val="24"/>
          <w:szCs w:val="24"/>
        </w:rPr>
        <w:t>支持经胸二维及四维探头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.1.13.6</w:t>
      </w:r>
      <w:r>
        <w:rPr>
          <w:rFonts w:hint="eastAsia" w:ascii="宋体" w:hAnsi="宋体" w:eastAsia="宋体" w:cs="宋体"/>
          <w:sz w:val="24"/>
          <w:szCs w:val="24"/>
        </w:rPr>
        <w:tab/>
      </w:r>
      <w:r>
        <w:rPr>
          <w:rFonts w:hint="eastAsia" w:ascii="宋体" w:hAnsi="宋体" w:eastAsia="宋体" w:cs="宋体"/>
          <w:sz w:val="24"/>
          <w:szCs w:val="24"/>
        </w:rPr>
        <w:t>支持食道矩阵容积探头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.1.13.7</w:t>
      </w:r>
      <w:r>
        <w:rPr>
          <w:rFonts w:hint="eastAsia" w:ascii="宋体" w:hAnsi="宋体" w:eastAsia="宋体" w:cs="宋体"/>
          <w:sz w:val="24"/>
          <w:szCs w:val="24"/>
        </w:rPr>
        <w:tab/>
      </w:r>
      <w:r>
        <w:rPr>
          <w:rFonts w:hint="eastAsia" w:ascii="宋体" w:hAnsi="宋体" w:eastAsia="宋体" w:cs="宋体"/>
          <w:sz w:val="24"/>
          <w:szCs w:val="24"/>
        </w:rPr>
        <w:t>可支持三平面造影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.1.13.8</w:t>
      </w:r>
      <w:r>
        <w:rPr>
          <w:rFonts w:hint="eastAsia" w:ascii="宋体" w:hAnsi="宋体" w:eastAsia="宋体" w:cs="宋体"/>
          <w:sz w:val="24"/>
          <w:szCs w:val="24"/>
        </w:rPr>
        <w:tab/>
      </w:r>
      <w:r>
        <w:rPr>
          <w:rFonts w:hint="eastAsia" w:ascii="宋体" w:hAnsi="宋体" w:eastAsia="宋体" w:cs="宋体"/>
          <w:sz w:val="24"/>
          <w:szCs w:val="24"/>
        </w:rPr>
        <w:t>支持负荷超声成像下的心肌灌注造影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.1.13.9</w:t>
      </w:r>
      <w:r>
        <w:rPr>
          <w:rFonts w:hint="eastAsia" w:ascii="宋体" w:hAnsi="宋体" w:eastAsia="宋体" w:cs="宋体"/>
          <w:sz w:val="24"/>
          <w:szCs w:val="24"/>
        </w:rPr>
        <w:tab/>
      </w:r>
      <w:r>
        <w:rPr>
          <w:rFonts w:hint="eastAsia" w:ascii="宋体" w:hAnsi="宋体" w:eastAsia="宋体" w:cs="宋体"/>
          <w:sz w:val="24"/>
          <w:szCs w:val="24"/>
        </w:rPr>
        <w:t>具备flash，机械指数可调,可心电触发和时间触发，长度可调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.1.13.10</w:t>
      </w:r>
      <w:r>
        <w:rPr>
          <w:rFonts w:hint="eastAsia" w:ascii="宋体" w:hAnsi="宋体" w:eastAsia="宋体" w:cs="宋体"/>
          <w:sz w:val="24"/>
          <w:szCs w:val="24"/>
        </w:rPr>
        <w:tab/>
      </w:r>
      <w:r>
        <w:rPr>
          <w:rFonts w:hint="eastAsia" w:ascii="宋体" w:hAnsi="宋体" w:eastAsia="宋体" w:cs="宋体"/>
          <w:sz w:val="24"/>
          <w:szCs w:val="24"/>
        </w:rPr>
        <w:t>具有双时钟计时，存储时间长短可调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.1.13.11</w:t>
      </w:r>
      <w:r>
        <w:rPr>
          <w:rFonts w:hint="eastAsia" w:ascii="宋体" w:hAnsi="宋体" w:eastAsia="宋体" w:cs="宋体"/>
          <w:sz w:val="24"/>
          <w:szCs w:val="24"/>
        </w:rPr>
        <w:tab/>
      </w:r>
      <w:r>
        <w:rPr>
          <w:rFonts w:hint="eastAsia" w:ascii="宋体" w:hAnsi="宋体" w:eastAsia="宋体" w:cs="宋体"/>
          <w:sz w:val="24"/>
          <w:szCs w:val="24"/>
        </w:rPr>
        <w:t>可实时前向存储、实时回放存储、编辑后存储等多种方式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.1.13.12</w:t>
      </w:r>
      <w:r>
        <w:rPr>
          <w:rFonts w:hint="eastAsia" w:ascii="宋体" w:hAnsi="宋体" w:eastAsia="宋体" w:cs="宋体"/>
          <w:sz w:val="24"/>
          <w:szCs w:val="24"/>
        </w:rPr>
        <w:tab/>
      </w:r>
      <w:r>
        <w:rPr>
          <w:rFonts w:hint="eastAsia" w:ascii="宋体" w:hAnsi="宋体" w:eastAsia="宋体" w:cs="宋体"/>
          <w:sz w:val="24"/>
          <w:szCs w:val="24"/>
        </w:rPr>
        <w:t>具有在线及离线时间-强度曲线分析工具，能按wash-in/wash-out分析数据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.1.13.13</w:t>
      </w:r>
      <w:r>
        <w:rPr>
          <w:rFonts w:hint="eastAsia" w:ascii="宋体" w:hAnsi="宋体" w:eastAsia="宋体" w:cs="宋体"/>
          <w:sz w:val="24"/>
          <w:szCs w:val="24"/>
        </w:rPr>
        <w:tab/>
      </w:r>
      <w:r>
        <w:rPr>
          <w:rFonts w:hint="eastAsia" w:ascii="宋体" w:hAnsi="宋体" w:eastAsia="宋体" w:cs="宋体"/>
          <w:sz w:val="24"/>
          <w:szCs w:val="24"/>
        </w:rPr>
        <w:t>分析结果自动导入系统工作表进行存储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w:t>
      </w:r>
      <w:r>
        <w:rPr>
          <w:rFonts w:hint="eastAsia" w:ascii="宋体" w:hAnsi="宋体" w:eastAsia="宋体" w:cs="宋体"/>
          <w:sz w:val="24"/>
          <w:szCs w:val="24"/>
        </w:rPr>
        <w:tab/>
      </w:r>
      <w:r>
        <w:rPr>
          <w:rFonts w:hint="eastAsia" w:ascii="宋体" w:hAnsi="宋体" w:eastAsia="宋体" w:cs="宋体"/>
          <w:b/>
          <w:bCs/>
          <w:sz w:val="24"/>
          <w:szCs w:val="24"/>
        </w:rPr>
        <w:t>具有负荷超声成像单元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.1.14.1</w:t>
      </w:r>
      <w:r>
        <w:rPr>
          <w:rFonts w:hint="eastAsia" w:ascii="宋体" w:hAnsi="宋体" w:eastAsia="宋体" w:cs="宋体"/>
          <w:sz w:val="24"/>
          <w:szCs w:val="24"/>
        </w:rPr>
        <w:tab/>
      </w:r>
      <w:r>
        <w:rPr>
          <w:rFonts w:hint="eastAsia" w:ascii="宋体" w:hAnsi="宋体" w:eastAsia="宋体" w:cs="宋体"/>
          <w:sz w:val="24"/>
          <w:szCs w:val="24"/>
        </w:rPr>
        <w:t>内置专业负荷超声模块，包括运动负荷、药物负荷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.1.14.2</w:t>
      </w:r>
      <w:r>
        <w:rPr>
          <w:rFonts w:hint="eastAsia" w:ascii="宋体" w:hAnsi="宋体" w:eastAsia="宋体" w:cs="宋体"/>
          <w:sz w:val="24"/>
          <w:szCs w:val="24"/>
        </w:rPr>
        <w:tab/>
      </w:r>
      <w:r>
        <w:rPr>
          <w:rFonts w:hint="eastAsia" w:ascii="宋体" w:hAnsi="宋体" w:eastAsia="宋体" w:cs="宋体"/>
          <w:sz w:val="24"/>
          <w:szCs w:val="24"/>
        </w:rPr>
        <w:t>可自定义编辑模板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.1.14.3</w:t>
      </w:r>
      <w:r>
        <w:rPr>
          <w:rFonts w:hint="eastAsia" w:ascii="宋体" w:hAnsi="宋体" w:eastAsia="宋体" w:cs="宋体"/>
          <w:sz w:val="24"/>
          <w:szCs w:val="24"/>
        </w:rPr>
        <w:tab/>
      </w:r>
      <w:r>
        <w:rPr>
          <w:rFonts w:hint="eastAsia" w:ascii="宋体" w:hAnsi="宋体" w:eastAsia="宋体" w:cs="宋体"/>
          <w:sz w:val="24"/>
          <w:szCs w:val="24"/>
        </w:rPr>
        <w:t>自动转换所需切面、所需测量和检查阶段；自动保存频率和增益等成像条件应用于下一检查阶段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.1.14.4</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回放时自动显示基础状态下的对比图像，自动同步心动周期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.1.14.5</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支持二维、多平面和四维成像模式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.1.14.6</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支持造影成像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.1.14.7</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支持经食管四维探头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.1.14.8</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负荷超声模块内置在线长轴心肌应变分析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.1.14.9</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可结合组织多普勒,并能定量分析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支持室壁运动评分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.1.14.11</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内置在同步化治疗评估模板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.1.15</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扫描助手功能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.1.16</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具有专业的啮齿类动物(如小鼠、兔子等实验动物)成像软件，可采集超高帧频心脏图像，实现基于TVI、二维图像的定量分析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b/>
          <w:bCs/>
          <w:sz w:val="24"/>
          <w:szCs w:val="24"/>
        </w:rPr>
        <w:t>测量和分析： (B型、M型、频谱多普勒、彩色多普勒、心脏容积模式)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一般测量功能：直径、面积、体积、狭窄率、压差等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w:t>
      </w:r>
      <w:r>
        <w:rPr>
          <w:rFonts w:hint="eastAsia" w:ascii="宋体" w:hAnsi="宋体" w:eastAsia="宋体" w:cs="宋体"/>
          <w:sz w:val="24"/>
          <w:szCs w:val="24"/>
        </w:rPr>
        <w:tab/>
      </w:r>
      <w:r>
        <w:rPr>
          <w:rFonts w:hint="eastAsia" w:ascii="宋体" w:hAnsi="宋体" w:eastAsia="宋体" w:cs="宋体"/>
          <w:sz w:val="24"/>
          <w:szCs w:val="24"/>
        </w:rPr>
        <w:t>心脏功能测量与分析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.2.2.1</w:t>
      </w:r>
      <w:r>
        <w:rPr>
          <w:rFonts w:hint="eastAsia" w:ascii="宋体" w:hAnsi="宋体" w:eastAsia="宋体" w:cs="宋体"/>
          <w:sz w:val="24"/>
          <w:szCs w:val="24"/>
        </w:rPr>
        <w:tab/>
      </w:r>
      <w:r>
        <w:rPr>
          <w:rFonts w:hint="eastAsia" w:ascii="宋体" w:hAnsi="宋体" w:eastAsia="宋体" w:cs="宋体"/>
          <w:sz w:val="24"/>
          <w:szCs w:val="24"/>
        </w:rPr>
        <w:t>直线解剖M型和曲线解剖M型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.2.2.2</w:t>
      </w:r>
      <w:r>
        <w:rPr>
          <w:rFonts w:hint="eastAsia" w:ascii="宋体" w:hAnsi="宋体" w:eastAsia="宋体" w:cs="宋体"/>
          <w:sz w:val="24"/>
          <w:szCs w:val="24"/>
        </w:rPr>
        <w:tab/>
      </w:r>
      <w:r>
        <w:rPr>
          <w:rFonts w:hint="eastAsia" w:ascii="宋体" w:hAnsi="宋体" w:eastAsia="宋体" w:cs="宋体"/>
          <w:sz w:val="24"/>
          <w:szCs w:val="24"/>
        </w:rPr>
        <w:t>基于人工智能（AI），自动识别标准切面并选择图像质量最佳的心动周期进行心内膜运动轨迹的追踪，进行二维心功能测量，支持单平面和双平面计算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.2.2.3</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在线斑点追踪定量分析: </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基于人工智能（AI），可自动识别切面并选择三个质量最佳的心动周期进行心肌斑点信号的追踪，分析心肌收缩期长轴峰值应变、收缩后收缩指数、提供17和18节段牛眼图、曲线显示模式、曲线解剖M型显示模式等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并可同步显示双平面simpson法EF值</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支持在常规成人及小儿心脏探头、经食道探头上实现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.2.2.4</w:t>
      </w:r>
      <w:r>
        <w:rPr>
          <w:rFonts w:hint="eastAsia" w:ascii="宋体" w:hAnsi="宋体" w:eastAsia="宋体" w:cs="宋体"/>
          <w:sz w:val="24"/>
          <w:szCs w:val="24"/>
        </w:rPr>
        <w:tab/>
      </w:r>
      <w:r>
        <w:rPr>
          <w:rFonts w:hint="eastAsia" w:ascii="宋体" w:hAnsi="宋体" w:eastAsia="宋体" w:cs="宋体"/>
          <w:sz w:val="24"/>
          <w:szCs w:val="24"/>
        </w:rPr>
        <w:t>基于二维斑点追踪技术，可直接分析长轴心肌收缩期峰值应变达峰时间、峰值应变离散，提供17和18节段牛眼图显示，以显示和评价心肌二维同步性(附图)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.2.2.5</w:t>
      </w:r>
      <w:r>
        <w:rPr>
          <w:rFonts w:hint="eastAsia" w:ascii="宋体" w:hAnsi="宋体" w:eastAsia="宋体" w:cs="宋体"/>
          <w:sz w:val="24"/>
          <w:szCs w:val="24"/>
        </w:rPr>
        <w:tab/>
      </w:r>
      <w:r>
        <w:rPr>
          <w:rFonts w:hint="eastAsia" w:ascii="宋体" w:hAnsi="宋体" w:eastAsia="宋体" w:cs="宋体"/>
          <w:sz w:val="24"/>
          <w:szCs w:val="24"/>
        </w:rPr>
        <w:t xml:space="preserve">心肌做功定量分析：分析左心整体和局部的做功情况，包括做功指数、整体有效做功、整体无效做功、整体做功效率等参数(附图)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.2.2.6</w:t>
      </w:r>
      <w:r>
        <w:rPr>
          <w:rFonts w:hint="eastAsia" w:ascii="宋体" w:hAnsi="宋体" w:eastAsia="宋体" w:cs="宋体"/>
          <w:sz w:val="24"/>
          <w:szCs w:val="24"/>
        </w:rPr>
        <w:tab/>
      </w:r>
      <w:r>
        <w:rPr>
          <w:rFonts w:hint="eastAsia" w:ascii="宋体" w:hAnsi="宋体" w:eastAsia="宋体" w:cs="宋体"/>
          <w:sz w:val="24"/>
          <w:szCs w:val="24"/>
        </w:rPr>
        <w:t>负荷超声模块内置心肌长轴应变分析功能，在线即可实现不同负荷阶段的心肌应变，提供17和18节段牛眼图显示、曲线显示模式、解剖M型显示模式等，并可同屏对照显示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.2.2.7</w:t>
      </w:r>
      <w:r>
        <w:rPr>
          <w:rFonts w:hint="eastAsia" w:ascii="宋体" w:hAnsi="宋体" w:eastAsia="宋体" w:cs="宋体"/>
          <w:sz w:val="24"/>
          <w:szCs w:val="24"/>
        </w:rPr>
        <w:tab/>
      </w:r>
      <w:r>
        <w:rPr>
          <w:rFonts w:hint="eastAsia" w:ascii="宋体" w:hAnsi="宋体" w:eastAsia="宋体" w:cs="宋体"/>
          <w:sz w:val="24"/>
          <w:szCs w:val="24"/>
        </w:rPr>
        <w:t>具备儿科心脏Z-score评分系统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w:t>
      </w:r>
      <w:r>
        <w:rPr>
          <w:rFonts w:hint="eastAsia" w:ascii="宋体" w:hAnsi="宋体" w:eastAsia="宋体" w:cs="宋体"/>
          <w:sz w:val="24"/>
          <w:szCs w:val="24"/>
        </w:rPr>
        <w:tab/>
      </w:r>
      <w:r>
        <w:rPr>
          <w:rFonts w:hint="eastAsia" w:ascii="宋体" w:hAnsi="宋体" w:eastAsia="宋体" w:cs="宋体"/>
          <w:sz w:val="24"/>
          <w:szCs w:val="24"/>
        </w:rPr>
        <w:t>产科测量软件包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.2.3.1</w:t>
      </w:r>
      <w:r>
        <w:rPr>
          <w:rFonts w:hint="eastAsia" w:ascii="宋体" w:hAnsi="宋体" w:eastAsia="宋体" w:cs="宋体"/>
          <w:sz w:val="24"/>
          <w:szCs w:val="24"/>
        </w:rPr>
        <w:tab/>
      </w:r>
      <w:r>
        <w:rPr>
          <w:rFonts w:hint="eastAsia" w:ascii="宋体" w:hAnsi="宋体" w:eastAsia="宋体" w:cs="宋体"/>
          <w:sz w:val="24"/>
          <w:szCs w:val="24"/>
        </w:rPr>
        <w:t>内置产科测量软件包，包含胎儿生长分析数据与图表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.2.3.2</w:t>
      </w:r>
      <w:r>
        <w:rPr>
          <w:rFonts w:hint="eastAsia" w:ascii="宋体" w:hAnsi="宋体" w:eastAsia="宋体" w:cs="宋体"/>
          <w:sz w:val="24"/>
          <w:szCs w:val="24"/>
        </w:rPr>
        <w:tab/>
      </w:r>
      <w:r>
        <w:rPr>
          <w:rFonts w:hint="eastAsia" w:ascii="宋体" w:hAnsi="宋体" w:eastAsia="宋体" w:cs="宋体"/>
          <w:sz w:val="24"/>
          <w:szCs w:val="24"/>
        </w:rPr>
        <w:t>胎儿生长发育曲线显示，支持多胞胎对比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.2.3.3</w:t>
      </w:r>
      <w:r>
        <w:rPr>
          <w:rFonts w:hint="eastAsia" w:ascii="宋体" w:hAnsi="宋体" w:eastAsia="宋体" w:cs="宋体"/>
          <w:sz w:val="24"/>
          <w:szCs w:val="24"/>
        </w:rPr>
        <w:tab/>
      </w:r>
      <w:r>
        <w:rPr>
          <w:rFonts w:hint="eastAsia" w:ascii="宋体" w:hAnsi="宋体" w:eastAsia="宋体" w:cs="宋体"/>
          <w:sz w:val="24"/>
          <w:szCs w:val="24"/>
        </w:rPr>
        <w:t>可根据用户需要选择欧洲、美国和亚洲人群的计算公式，亦可自定义公式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.2.3.4</w:t>
      </w:r>
      <w:r>
        <w:rPr>
          <w:rFonts w:hint="eastAsia" w:ascii="宋体" w:hAnsi="宋体" w:eastAsia="宋体" w:cs="宋体"/>
          <w:sz w:val="24"/>
          <w:szCs w:val="24"/>
        </w:rPr>
        <w:tab/>
      </w:r>
      <w:r>
        <w:rPr>
          <w:rFonts w:hint="eastAsia" w:ascii="宋体" w:hAnsi="宋体" w:eastAsia="宋体" w:cs="宋体"/>
          <w:sz w:val="24"/>
          <w:szCs w:val="24"/>
        </w:rPr>
        <w:t>包含卵巢与子宫测量报告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.2.3.5</w:t>
      </w:r>
      <w:r>
        <w:rPr>
          <w:rFonts w:hint="eastAsia" w:ascii="宋体" w:hAnsi="宋体" w:eastAsia="宋体" w:cs="宋体"/>
          <w:sz w:val="24"/>
          <w:szCs w:val="24"/>
        </w:rPr>
        <w:tab/>
      </w:r>
      <w:r>
        <w:rPr>
          <w:rFonts w:hint="eastAsia" w:ascii="宋体" w:hAnsi="宋体" w:eastAsia="宋体" w:cs="宋体"/>
          <w:sz w:val="24"/>
          <w:szCs w:val="24"/>
        </w:rPr>
        <w:t>测量结果自动导入主机内置工作表，并可自动生成报告输出与打印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.2.4</w:t>
      </w:r>
      <w:r>
        <w:rPr>
          <w:rFonts w:hint="eastAsia" w:ascii="宋体" w:hAnsi="宋体" w:eastAsia="宋体" w:cs="宋体"/>
          <w:sz w:val="24"/>
          <w:szCs w:val="24"/>
        </w:rPr>
        <w:tab/>
      </w:r>
      <w:r>
        <w:rPr>
          <w:rFonts w:hint="eastAsia" w:ascii="宋体" w:hAnsi="宋体" w:eastAsia="宋体" w:cs="宋体"/>
          <w:sz w:val="24"/>
          <w:szCs w:val="24"/>
        </w:rPr>
        <w:t>血流测量与分析: 频谱多普勒实时自动包络，参数可自定义设定。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w:t>
      </w:r>
      <w:r>
        <w:rPr>
          <w:rFonts w:hint="eastAsia" w:ascii="宋体" w:hAnsi="宋体" w:eastAsia="宋体" w:cs="宋体"/>
          <w:sz w:val="24"/>
          <w:szCs w:val="24"/>
        </w:rPr>
        <w:tab/>
      </w:r>
      <w:r>
        <w:rPr>
          <w:rFonts w:hint="eastAsia" w:ascii="宋体" w:hAnsi="宋体" w:eastAsia="宋体" w:cs="宋体"/>
          <w:sz w:val="24"/>
          <w:szCs w:val="24"/>
        </w:rPr>
        <w:t>血管内中膜自动测量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.3</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图像存储与（电影）回放重现单元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w:t>
      </w:r>
      <w:r>
        <w:rPr>
          <w:rFonts w:hint="eastAsia" w:ascii="宋体" w:hAnsi="宋体" w:eastAsia="宋体" w:cs="宋体"/>
          <w:sz w:val="24"/>
          <w:szCs w:val="24"/>
        </w:rPr>
        <w:tab/>
      </w:r>
      <w:r>
        <w:rPr>
          <w:rFonts w:hint="eastAsia" w:ascii="宋体" w:hAnsi="宋体" w:eastAsia="宋体" w:cs="宋体"/>
          <w:sz w:val="24"/>
          <w:szCs w:val="24"/>
        </w:rPr>
        <w:t>超声图像静态、动态存储，原始数据回放重现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.3.2</w:t>
      </w:r>
      <w:r>
        <w:rPr>
          <w:rFonts w:hint="eastAsia" w:ascii="宋体" w:hAnsi="宋体" w:eastAsia="宋体" w:cs="宋体"/>
          <w:sz w:val="24"/>
          <w:szCs w:val="24"/>
        </w:rPr>
        <w:tab/>
      </w:r>
      <w:r>
        <w:rPr>
          <w:rFonts w:hint="eastAsia" w:ascii="宋体" w:hAnsi="宋体" w:eastAsia="宋体" w:cs="宋体"/>
          <w:sz w:val="24"/>
          <w:szCs w:val="24"/>
        </w:rPr>
        <w:t>动态图像、静态图像以AVI、JPEG格式直接存储于可移动媒介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.3.3</w:t>
      </w:r>
      <w:r>
        <w:rPr>
          <w:rFonts w:hint="eastAsia" w:ascii="宋体" w:hAnsi="宋体" w:eastAsia="宋体" w:cs="宋体"/>
          <w:sz w:val="24"/>
          <w:szCs w:val="24"/>
        </w:rPr>
        <w:tab/>
      </w:r>
      <w:r>
        <w:rPr>
          <w:rFonts w:hint="eastAsia" w:ascii="宋体" w:hAnsi="宋体" w:eastAsia="宋体" w:cs="宋体"/>
          <w:sz w:val="24"/>
          <w:szCs w:val="24"/>
        </w:rPr>
        <w:t>支持压缩和高清DICOM图像传输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.3.4</w:t>
      </w:r>
      <w:r>
        <w:rPr>
          <w:rFonts w:hint="eastAsia" w:ascii="宋体" w:hAnsi="宋体" w:eastAsia="宋体" w:cs="宋体"/>
          <w:sz w:val="24"/>
          <w:szCs w:val="24"/>
        </w:rPr>
        <w:tab/>
      </w:r>
      <w:r>
        <w:rPr>
          <w:rFonts w:hint="eastAsia" w:ascii="宋体" w:hAnsi="宋体" w:eastAsia="宋体" w:cs="宋体"/>
          <w:sz w:val="24"/>
          <w:szCs w:val="24"/>
        </w:rPr>
        <w:t>在屏剪帖板和多画面同屏回放功能，不同检查日期所存的图像可以回放至同一屏幕比较分析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.3.5</w:t>
      </w:r>
      <w:r>
        <w:rPr>
          <w:rFonts w:hint="eastAsia" w:ascii="宋体" w:hAnsi="宋体" w:eastAsia="宋体" w:cs="宋体"/>
          <w:sz w:val="24"/>
          <w:szCs w:val="24"/>
        </w:rPr>
        <w:tab/>
      </w:r>
      <w:r>
        <w:rPr>
          <w:rFonts w:hint="eastAsia" w:ascii="宋体" w:hAnsi="宋体" w:eastAsia="宋体" w:cs="宋体"/>
          <w:sz w:val="24"/>
          <w:szCs w:val="24"/>
        </w:rPr>
        <w:t>USB接口支持U盘或移动硬盘快速存储屏幕上的图像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.4</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参考信号：</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心电、心音、脉搏波、心电触发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输入/输出信号: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4</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输入：ECG, USB、VGA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4</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输出：DVI-D，音频，USB</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图像管理与记录装置：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.6.1</w:t>
      </w:r>
      <w:r>
        <w:rPr>
          <w:rFonts w:hint="eastAsia" w:ascii="宋体" w:hAnsi="宋体" w:eastAsia="宋体" w:cs="宋体"/>
          <w:sz w:val="24"/>
          <w:szCs w:val="24"/>
        </w:rPr>
        <w:tab/>
      </w:r>
      <w:r>
        <w:rPr>
          <w:rFonts w:hint="eastAsia" w:ascii="宋体" w:hAnsi="宋体" w:eastAsia="宋体" w:cs="宋体"/>
          <w:sz w:val="24"/>
          <w:szCs w:val="24"/>
        </w:rPr>
        <w:t>内置图像管理系统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.6.2</w:t>
      </w:r>
      <w:r>
        <w:rPr>
          <w:rFonts w:hint="eastAsia" w:ascii="宋体" w:hAnsi="宋体" w:eastAsia="宋体" w:cs="宋体"/>
          <w:sz w:val="24"/>
          <w:szCs w:val="24"/>
        </w:rPr>
        <w:tab/>
      </w:r>
      <w:r>
        <w:rPr>
          <w:rFonts w:hint="eastAsia" w:ascii="宋体" w:hAnsi="宋体" w:eastAsia="宋体" w:cs="宋体"/>
          <w:sz w:val="24"/>
          <w:szCs w:val="24"/>
        </w:rPr>
        <w:t>硬盘存储≥</w:t>
      </w:r>
      <w:r>
        <w:rPr>
          <w:rFonts w:hint="eastAsia" w:ascii="宋体" w:hAnsi="宋体" w:eastAsia="宋体" w:cs="宋体"/>
          <w:sz w:val="24"/>
          <w:szCs w:val="24"/>
          <w:lang w:val="en-US" w:eastAsia="zh-CN"/>
        </w:rPr>
        <w:t>5</w:t>
      </w:r>
      <w:r>
        <w:rPr>
          <w:rFonts w:hint="eastAsia" w:ascii="宋体" w:hAnsi="宋体" w:eastAsia="宋体" w:cs="宋体"/>
          <w:sz w:val="24"/>
          <w:szCs w:val="24"/>
        </w:rPr>
        <w:t>00GB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.6.3</w:t>
      </w:r>
      <w:r>
        <w:rPr>
          <w:rFonts w:hint="eastAsia" w:ascii="宋体" w:hAnsi="宋体" w:eastAsia="宋体" w:cs="宋体"/>
          <w:sz w:val="24"/>
          <w:szCs w:val="24"/>
        </w:rPr>
        <w:tab/>
      </w:r>
      <w:r>
        <w:rPr>
          <w:rFonts w:hint="eastAsia" w:ascii="宋体" w:hAnsi="宋体" w:eastAsia="宋体" w:cs="宋体"/>
          <w:sz w:val="24"/>
          <w:szCs w:val="24"/>
        </w:rPr>
        <w:t>可扩展的存储装置：大容量移动硬盘、DVD-RW、DVR等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连通性：</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.7.1</w:t>
      </w:r>
      <w:r>
        <w:rPr>
          <w:rFonts w:hint="eastAsia" w:ascii="宋体" w:hAnsi="宋体" w:eastAsia="宋体" w:cs="宋体"/>
          <w:sz w:val="24"/>
          <w:szCs w:val="24"/>
        </w:rPr>
        <w:tab/>
      </w:r>
      <w:r>
        <w:rPr>
          <w:rFonts w:hint="eastAsia" w:ascii="宋体" w:hAnsi="宋体" w:eastAsia="宋体" w:cs="宋体"/>
          <w:sz w:val="24"/>
          <w:szCs w:val="24"/>
        </w:rPr>
        <w:t>医学数字图像和通信DICOM3.0版接口部件，支持高清DICOM传输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.7.2</w:t>
      </w:r>
      <w:r>
        <w:rPr>
          <w:rFonts w:hint="eastAsia" w:ascii="宋体" w:hAnsi="宋体" w:eastAsia="宋体" w:cs="宋体"/>
          <w:sz w:val="24"/>
          <w:szCs w:val="24"/>
        </w:rPr>
        <w:tab/>
      </w:r>
      <w:r>
        <w:rPr>
          <w:rFonts w:hint="eastAsia" w:ascii="宋体" w:hAnsi="宋体" w:eastAsia="宋体" w:cs="宋体"/>
          <w:sz w:val="24"/>
          <w:szCs w:val="24"/>
        </w:rPr>
        <w:t>支持局域网/PACS/HIS等直接存储、查询与调阅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.7.3</w:t>
      </w:r>
      <w:r>
        <w:rPr>
          <w:rFonts w:hint="eastAsia" w:ascii="宋体" w:hAnsi="宋体" w:eastAsia="宋体" w:cs="宋体"/>
          <w:sz w:val="24"/>
          <w:szCs w:val="24"/>
        </w:rPr>
        <w:tab/>
      </w:r>
      <w:r>
        <w:rPr>
          <w:rFonts w:hint="eastAsia" w:ascii="宋体" w:hAnsi="宋体" w:eastAsia="宋体" w:cs="宋体"/>
          <w:sz w:val="24"/>
          <w:szCs w:val="24"/>
        </w:rPr>
        <w:t>支持DICOM打印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、技术参数及要求：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.1</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系统通用功能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w:t>
      </w:r>
      <w:r>
        <w:rPr>
          <w:rFonts w:hint="eastAsia" w:ascii="宋体" w:hAnsi="宋体" w:eastAsia="宋体" w:cs="宋体"/>
          <w:sz w:val="24"/>
          <w:szCs w:val="24"/>
        </w:rPr>
        <w:tab/>
      </w:r>
      <w:r>
        <w:rPr>
          <w:rFonts w:hint="eastAsia" w:ascii="宋体" w:hAnsi="宋体" w:eastAsia="宋体" w:cs="宋体"/>
          <w:sz w:val="24"/>
          <w:szCs w:val="24"/>
        </w:rPr>
        <w:t>显示器: ≥22英寸,为最新型的高分辨率、宽视野、有机自发光显示器（OLED），分辨率≥1920×1080 Pixel，亮度对比度可根据换机要求自动和手动调节可调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操作面板具有12英寸超高分辨率、多点触控彩色触摸屏；可通过手指进行翻页，直接点击操作菜单、调节参数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.1.3</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操作面板具有的触摸屏能进行图管理、图像预览和动态图像播放功能、图像输出操作等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.1.4</w:t>
      </w:r>
      <w:r>
        <w:rPr>
          <w:rFonts w:hint="eastAsia" w:ascii="宋体" w:hAnsi="宋体" w:eastAsia="宋体" w:cs="宋体"/>
          <w:sz w:val="24"/>
          <w:szCs w:val="24"/>
        </w:rPr>
        <w:tab/>
      </w:r>
      <w:r>
        <w:rPr>
          <w:rFonts w:hint="eastAsia" w:ascii="宋体" w:hAnsi="宋体" w:eastAsia="宋体" w:cs="宋体"/>
          <w:sz w:val="24"/>
          <w:szCs w:val="24"/>
        </w:rPr>
        <w:t>操作面板两侧有文件放置盒、耦合剂放置区等外部设备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.1.5</w:t>
      </w:r>
      <w:r>
        <w:rPr>
          <w:rFonts w:hint="eastAsia" w:ascii="宋体" w:hAnsi="宋体" w:eastAsia="宋体" w:cs="宋体"/>
          <w:sz w:val="24"/>
          <w:szCs w:val="24"/>
        </w:rPr>
        <w:tab/>
      </w:r>
      <w:r>
        <w:rPr>
          <w:rFonts w:hint="eastAsia" w:ascii="宋体" w:hAnsi="宋体" w:eastAsia="宋体" w:cs="宋体"/>
          <w:sz w:val="24"/>
          <w:szCs w:val="24"/>
        </w:rPr>
        <w:t>探头接口：激活探头接口数≥4个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触摸屏具有探头接口和探头显示功能、预设条件显示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.1.7</w:t>
      </w:r>
      <w:r>
        <w:rPr>
          <w:rFonts w:hint="eastAsia" w:ascii="宋体" w:hAnsi="宋体" w:eastAsia="宋体" w:cs="宋体"/>
          <w:sz w:val="24"/>
          <w:szCs w:val="24"/>
        </w:rPr>
        <w:tab/>
      </w:r>
      <w:r>
        <w:rPr>
          <w:rFonts w:hint="eastAsia" w:ascii="宋体" w:hAnsi="宋体" w:eastAsia="宋体" w:cs="宋体"/>
          <w:sz w:val="24"/>
          <w:szCs w:val="24"/>
        </w:rPr>
        <w:t>安全性能：符合国家进口商品安全质量要求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.1.8</w:t>
      </w:r>
      <w:r>
        <w:rPr>
          <w:rFonts w:hint="eastAsia" w:ascii="宋体" w:hAnsi="宋体" w:eastAsia="宋体" w:cs="宋体"/>
          <w:sz w:val="24"/>
          <w:szCs w:val="24"/>
        </w:rPr>
        <w:tab/>
      </w:r>
      <w:r>
        <w:rPr>
          <w:rFonts w:hint="eastAsia" w:ascii="宋体" w:hAnsi="宋体" w:eastAsia="宋体" w:cs="宋体"/>
          <w:sz w:val="24"/>
          <w:szCs w:val="24"/>
        </w:rPr>
        <w:t>操作平台：电动控制，可在上下/左右/前后范围内灵活调节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.2</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探头规格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频率：所配探头均为宽频带多点变频探头,频率范围1.4-18MHz， 中心频率可选择≥4种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.2.2</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二维、彩色、多普勒均可独立变频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.2.3</w:t>
      </w:r>
      <w:r>
        <w:rPr>
          <w:rFonts w:hint="eastAsia" w:ascii="宋体" w:hAnsi="宋体" w:eastAsia="宋体" w:cs="宋体"/>
          <w:sz w:val="24"/>
          <w:szCs w:val="24"/>
        </w:rPr>
        <w:tab/>
      </w:r>
      <w:r>
        <w:rPr>
          <w:rFonts w:hint="eastAsia" w:ascii="宋体" w:hAnsi="宋体" w:eastAsia="宋体" w:cs="宋体"/>
          <w:sz w:val="24"/>
          <w:szCs w:val="24"/>
        </w:rPr>
        <w:t>类型：可支持相控阵、凸阵、微凸阵、腔内、线阵、经食道矩阵及术中探头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.2.4</w:t>
      </w:r>
      <w:r>
        <w:rPr>
          <w:rFonts w:hint="eastAsia" w:ascii="宋体" w:hAnsi="宋体" w:eastAsia="宋体" w:cs="宋体"/>
          <w:sz w:val="24"/>
          <w:szCs w:val="24"/>
        </w:rPr>
        <w:tab/>
      </w:r>
      <w:r>
        <w:rPr>
          <w:rFonts w:hint="eastAsia" w:ascii="宋体" w:hAnsi="宋体" w:eastAsia="宋体" w:cs="宋体"/>
          <w:sz w:val="24"/>
          <w:szCs w:val="24"/>
        </w:rPr>
        <w:t>B/D兼用：相控阵B/PWD/CWD；线阵B/PWD；凸阵B/PWD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.2.5</w:t>
      </w:r>
      <w:r>
        <w:rPr>
          <w:rFonts w:hint="eastAsia" w:ascii="宋体" w:hAnsi="宋体" w:eastAsia="宋体" w:cs="宋体"/>
          <w:sz w:val="24"/>
          <w:szCs w:val="24"/>
        </w:rPr>
        <w:tab/>
      </w:r>
      <w:r>
        <w:rPr>
          <w:rFonts w:hint="eastAsia" w:ascii="宋体" w:hAnsi="宋体" w:eastAsia="宋体" w:cs="宋体"/>
          <w:sz w:val="24"/>
          <w:szCs w:val="24"/>
        </w:rPr>
        <w:t>探头工作频率范围: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成人相控阵探头：1.4-4.6MHz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凸阵探头：1.4-6.0MHz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电子线阵：2.4-10.0MHz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四维</w:t>
      </w:r>
      <w:r>
        <w:rPr>
          <w:rFonts w:hint="eastAsia" w:ascii="宋体" w:hAnsi="宋体" w:eastAsia="宋体" w:cs="宋体"/>
          <w:sz w:val="24"/>
          <w:szCs w:val="24"/>
        </w:rPr>
        <w:t>经食道探头：3.0-8.0MHz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.3</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二维灰阶显像主要参数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.3.1</w:t>
      </w:r>
      <w:r>
        <w:rPr>
          <w:rFonts w:hint="eastAsia" w:ascii="宋体" w:hAnsi="宋体" w:eastAsia="宋体" w:cs="宋体"/>
          <w:sz w:val="24"/>
          <w:szCs w:val="24"/>
        </w:rPr>
        <w:tab/>
      </w:r>
      <w:r>
        <w:rPr>
          <w:rFonts w:hint="eastAsia" w:ascii="宋体" w:hAnsi="宋体" w:eastAsia="宋体" w:cs="宋体"/>
          <w:sz w:val="24"/>
          <w:szCs w:val="24"/>
        </w:rPr>
        <w:t>成人相控阵探头扫描角度：10°—120°选择（附图说明）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.3.2</w:t>
      </w:r>
      <w:r>
        <w:rPr>
          <w:rFonts w:hint="eastAsia" w:ascii="宋体" w:hAnsi="宋体" w:eastAsia="宋体" w:cs="宋体"/>
          <w:sz w:val="24"/>
          <w:szCs w:val="24"/>
        </w:rPr>
        <w:tab/>
      </w:r>
      <w:r>
        <w:rPr>
          <w:rFonts w:hint="eastAsia" w:ascii="宋体" w:hAnsi="宋体" w:eastAsia="宋体" w:cs="宋体"/>
          <w:sz w:val="24"/>
          <w:szCs w:val="24"/>
        </w:rPr>
        <w:t xml:space="preserve">成像速率: 相控阵探头：90o，18cm深度时，帧速率≥100帧/秒 (附图说明)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.3.3</w:t>
      </w:r>
      <w:r>
        <w:rPr>
          <w:rFonts w:hint="eastAsia" w:ascii="宋体" w:hAnsi="宋体" w:eastAsia="宋体" w:cs="宋体"/>
          <w:sz w:val="24"/>
          <w:szCs w:val="24"/>
        </w:rPr>
        <w:tab/>
      </w:r>
      <w:r>
        <w:rPr>
          <w:rFonts w:hint="eastAsia" w:ascii="宋体" w:hAnsi="宋体" w:eastAsia="宋体" w:cs="宋体"/>
          <w:sz w:val="24"/>
          <w:szCs w:val="24"/>
        </w:rPr>
        <w:t>二维灰阶成像≥25</w:t>
      </w:r>
      <w:r>
        <w:rPr>
          <w:rFonts w:hint="eastAsia" w:ascii="宋体" w:hAnsi="宋体" w:eastAsia="宋体" w:cs="宋体"/>
          <w:sz w:val="24"/>
          <w:szCs w:val="24"/>
          <w:lang w:val="en-US" w:eastAsia="zh-CN"/>
        </w:rPr>
        <w:t>6</w:t>
      </w:r>
      <w:r>
        <w:rPr>
          <w:rFonts w:hint="eastAsia" w:ascii="宋体" w:hAnsi="宋体" w:eastAsia="宋体" w:cs="宋体"/>
          <w:sz w:val="24"/>
          <w:szCs w:val="24"/>
        </w:rPr>
        <w:t>灰阶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.3.4</w:t>
      </w:r>
      <w:r>
        <w:rPr>
          <w:rFonts w:hint="eastAsia" w:ascii="宋体" w:hAnsi="宋体" w:eastAsia="宋体" w:cs="宋体"/>
          <w:sz w:val="24"/>
          <w:szCs w:val="24"/>
        </w:rPr>
        <w:tab/>
      </w:r>
      <w:r>
        <w:rPr>
          <w:rFonts w:hint="eastAsia" w:ascii="宋体" w:hAnsi="宋体" w:eastAsia="宋体" w:cs="宋体"/>
          <w:sz w:val="24"/>
          <w:szCs w:val="24"/>
        </w:rPr>
        <w:t>支持高清晰局部放大，放大时增加信息量，提高分辨率和帧频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.3.5</w:t>
      </w:r>
      <w:r>
        <w:rPr>
          <w:rFonts w:hint="eastAsia" w:ascii="宋体" w:hAnsi="宋体" w:eastAsia="宋体" w:cs="宋体"/>
          <w:sz w:val="24"/>
          <w:szCs w:val="24"/>
        </w:rPr>
        <w:tab/>
      </w:r>
      <w:r>
        <w:rPr>
          <w:rFonts w:hint="eastAsia" w:ascii="宋体" w:hAnsi="宋体" w:eastAsia="宋体" w:cs="宋体"/>
          <w:sz w:val="24"/>
          <w:szCs w:val="24"/>
        </w:rPr>
        <w:t>回放重现：灰阶图像回放≥5000幅，允许12窗口同屏回放, 多窗口时允许不同时期的图像和实时图像对比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.3.6</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增益调节：STC分段≥8，B/M可独立调节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.3.7</w:t>
      </w:r>
      <w:r>
        <w:rPr>
          <w:rFonts w:hint="eastAsia" w:ascii="宋体" w:hAnsi="宋体" w:eastAsia="宋体" w:cs="宋体"/>
          <w:sz w:val="24"/>
          <w:szCs w:val="24"/>
        </w:rPr>
        <w:tab/>
      </w:r>
      <w:r>
        <w:rPr>
          <w:rFonts w:hint="eastAsia" w:ascii="宋体" w:hAnsi="宋体" w:eastAsia="宋体" w:cs="宋体"/>
          <w:sz w:val="24"/>
          <w:szCs w:val="24"/>
        </w:rPr>
        <w:t>二次谐波：所配探头支持二次谐波，相控阵探头谐波数≥</w:t>
      </w:r>
      <w:r>
        <w:rPr>
          <w:rFonts w:hint="eastAsia" w:ascii="宋体" w:hAnsi="宋体" w:eastAsia="宋体" w:cs="宋体"/>
          <w:sz w:val="24"/>
          <w:szCs w:val="24"/>
          <w:lang w:val="en-US" w:eastAsia="zh-CN"/>
        </w:rPr>
        <w:t>6</w:t>
      </w:r>
      <w:r>
        <w:rPr>
          <w:rFonts w:hint="eastAsia" w:ascii="宋体" w:hAnsi="宋体" w:eastAsia="宋体" w:cs="宋体"/>
          <w:sz w:val="24"/>
          <w:szCs w:val="24"/>
        </w:rPr>
        <w:t>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.3.8</w:t>
      </w:r>
      <w:r>
        <w:rPr>
          <w:rFonts w:hint="eastAsia" w:ascii="宋体" w:hAnsi="宋体" w:eastAsia="宋体" w:cs="宋体"/>
          <w:sz w:val="24"/>
          <w:szCs w:val="24"/>
        </w:rPr>
        <w:tab/>
      </w:r>
      <w:r>
        <w:rPr>
          <w:rFonts w:hint="eastAsia" w:ascii="宋体" w:hAnsi="宋体" w:eastAsia="宋体" w:cs="宋体"/>
          <w:sz w:val="24"/>
          <w:szCs w:val="24"/>
        </w:rPr>
        <w:t>心脏扫描深度≥30cm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.3.9</w:t>
      </w:r>
      <w:r>
        <w:rPr>
          <w:rFonts w:hint="eastAsia" w:ascii="宋体" w:hAnsi="宋体" w:eastAsia="宋体" w:cs="宋体"/>
          <w:sz w:val="24"/>
          <w:szCs w:val="24"/>
        </w:rPr>
        <w:tab/>
      </w:r>
      <w:r>
        <w:rPr>
          <w:rFonts w:hint="eastAsia" w:ascii="宋体" w:hAnsi="宋体" w:eastAsia="宋体" w:cs="宋体"/>
          <w:sz w:val="24"/>
          <w:szCs w:val="24"/>
        </w:rPr>
        <w:t>腹部探头扫描深度≥50cm （附图说明）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.4</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频谱多普勒成像参数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方式： PWD, HPRF，LPRF，CWD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.4.2</w:t>
      </w:r>
      <w:r>
        <w:rPr>
          <w:rFonts w:hint="eastAsia" w:ascii="宋体" w:hAnsi="宋体" w:eastAsia="宋体" w:cs="宋体"/>
          <w:sz w:val="24"/>
          <w:szCs w:val="24"/>
        </w:rPr>
        <w:tab/>
      </w:r>
      <w:r>
        <w:rPr>
          <w:rFonts w:hint="eastAsia" w:ascii="宋体" w:hAnsi="宋体" w:eastAsia="宋体" w:cs="宋体"/>
          <w:sz w:val="24"/>
          <w:szCs w:val="24"/>
        </w:rPr>
        <w:t>多普勒发射频率：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扇扫：≥八段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线阵：≥三段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凸阵：≥六段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.4.3</w:t>
      </w:r>
      <w:r>
        <w:rPr>
          <w:rFonts w:hint="eastAsia" w:ascii="宋体" w:hAnsi="宋体" w:eastAsia="宋体" w:cs="宋体"/>
          <w:sz w:val="24"/>
          <w:szCs w:val="24"/>
        </w:rPr>
        <w:tab/>
      </w:r>
      <w:r>
        <w:rPr>
          <w:rFonts w:hint="eastAsia" w:ascii="宋体" w:hAnsi="宋体" w:eastAsia="宋体" w:cs="宋体"/>
          <w:sz w:val="24"/>
          <w:szCs w:val="24"/>
        </w:rPr>
        <w:t>最大测量速度：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PWD：血流速度≥7.</w:t>
      </w:r>
      <w:r>
        <w:rPr>
          <w:rFonts w:hint="eastAsia" w:ascii="宋体" w:hAnsi="宋体" w:eastAsia="宋体" w:cs="宋体"/>
          <w:sz w:val="24"/>
          <w:szCs w:val="24"/>
          <w:lang w:val="en-US" w:eastAsia="zh-CN"/>
        </w:rPr>
        <w:t>6</w:t>
      </w:r>
      <w:r>
        <w:rPr>
          <w:rFonts w:hint="eastAsia" w:ascii="宋体" w:hAnsi="宋体" w:eastAsia="宋体" w:cs="宋体"/>
          <w:sz w:val="24"/>
          <w:szCs w:val="24"/>
        </w:rPr>
        <w:t>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CWD：血流速度≥12m/s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.4.4</w:t>
      </w:r>
      <w:r>
        <w:rPr>
          <w:rFonts w:hint="eastAsia" w:ascii="宋体" w:hAnsi="宋体" w:eastAsia="宋体" w:cs="宋体"/>
          <w:sz w:val="24"/>
          <w:szCs w:val="24"/>
        </w:rPr>
        <w:tab/>
      </w:r>
      <w:r>
        <w:rPr>
          <w:rFonts w:hint="eastAsia" w:ascii="宋体" w:hAnsi="宋体" w:eastAsia="宋体" w:cs="宋体"/>
          <w:sz w:val="24"/>
          <w:szCs w:val="24"/>
        </w:rPr>
        <w:t>最低测量速度：≤2mm/s(非噪声信号)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.4.5</w:t>
      </w:r>
      <w:r>
        <w:rPr>
          <w:rFonts w:hint="eastAsia" w:ascii="宋体" w:hAnsi="宋体" w:eastAsia="宋体" w:cs="宋体"/>
          <w:sz w:val="24"/>
          <w:szCs w:val="24"/>
        </w:rPr>
        <w:tab/>
      </w:r>
      <w:r>
        <w:rPr>
          <w:rFonts w:hint="eastAsia" w:ascii="宋体" w:hAnsi="宋体" w:eastAsia="宋体" w:cs="宋体"/>
          <w:sz w:val="24"/>
          <w:szCs w:val="24"/>
        </w:rPr>
        <w:t>显示方式：B、M、B/M、B/M/CFI、B/D、D、B/CFI/D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.4.6</w:t>
      </w:r>
      <w:r>
        <w:rPr>
          <w:rFonts w:hint="eastAsia" w:ascii="宋体" w:hAnsi="宋体" w:eastAsia="宋体" w:cs="宋体"/>
          <w:sz w:val="24"/>
          <w:szCs w:val="24"/>
        </w:rPr>
        <w:tab/>
      </w:r>
      <w:r>
        <w:rPr>
          <w:rFonts w:hint="eastAsia" w:ascii="宋体" w:hAnsi="宋体" w:eastAsia="宋体" w:cs="宋体"/>
          <w:sz w:val="24"/>
          <w:szCs w:val="24"/>
        </w:rPr>
        <w:t>电影回放：≥90秒</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.4.7</w:t>
      </w:r>
      <w:r>
        <w:rPr>
          <w:rFonts w:hint="eastAsia" w:ascii="宋体" w:hAnsi="宋体" w:eastAsia="宋体" w:cs="宋体"/>
          <w:sz w:val="24"/>
          <w:szCs w:val="24"/>
        </w:rPr>
        <w:tab/>
      </w:r>
      <w:r>
        <w:rPr>
          <w:rFonts w:hint="eastAsia" w:ascii="宋体" w:hAnsi="宋体" w:eastAsia="宋体" w:cs="宋体"/>
          <w:sz w:val="24"/>
          <w:szCs w:val="24"/>
        </w:rPr>
        <w:t>零位移动：≥6级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.4.8</w:t>
      </w:r>
      <w:r>
        <w:rPr>
          <w:rFonts w:hint="eastAsia" w:ascii="宋体" w:hAnsi="宋体" w:eastAsia="宋体" w:cs="宋体"/>
          <w:sz w:val="24"/>
          <w:szCs w:val="24"/>
        </w:rPr>
        <w:tab/>
      </w:r>
      <w:r>
        <w:rPr>
          <w:rFonts w:hint="eastAsia" w:ascii="宋体" w:hAnsi="宋体" w:eastAsia="宋体" w:cs="宋体"/>
          <w:sz w:val="24"/>
          <w:szCs w:val="24"/>
        </w:rPr>
        <w:t>取样宽度及位置范围：宽度1-16mm；分级可调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.4.9</w:t>
      </w:r>
      <w:r>
        <w:rPr>
          <w:rFonts w:hint="eastAsia" w:ascii="宋体" w:hAnsi="宋体" w:eastAsia="宋体" w:cs="宋体"/>
          <w:sz w:val="24"/>
          <w:szCs w:val="24"/>
        </w:rPr>
        <w:tab/>
      </w:r>
      <w:r>
        <w:rPr>
          <w:rFonts w:hint="eastAsia" w:ascii="宋体" w:hAnsi="宋体" w:eastAsia="宋体" w:cs="宋体"/>
          <w:sz w:val="24"/>
          <w:szCs w:val="24"/>
        </w:rPr>
        <w:t>显示控制：反转显示(左/右；上/下)、零移位，B—刷新(手控、时间、ECG同步)、D扩展、B/D扩展，局放及移位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.4.10</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频谱自动包络并完成测量，参数可自定义，可于实时、冻结和回放图像上完成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.5</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彩色多普勒成像参数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显示方式：速度显示、能量显示、方差显示、彩色心肌速度多普勒显示、彩色心肌位移多普勒显示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.5.2</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实时二同步/三同步显示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.5.3</w:t>
      </w:r>
      <w:r>
        <w:rPr>
          <w:rFonts w:hint="eastAsia" w:ascii="宋体" w:hAnsi="宋体" w:eastAsia="宋体" w:cs="宋体"/>
          <w:sz w:val="24"/>
          <w:szCs w:val="24"/>
        </w:rPr>
        <w:tab/>
      </w:r>
      <w:r>
        <w:rPr>
          <w:rFonts w:hint="eastAsia" w:ascii="宋体" w:hAnsi="宋体" w:eastAsia="宋体" w:cs="宋体"/>
          <w:sz w:val="24"/>
          <w:szCs w:val="24"/>
        </w:rPr>
        <w:t xml:space="preserve">彩色显示帧频：相控阵扇扫探头、90°角，18cm深显示，彩色显示帧频≥19帧/s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.5.4</w:t>
      </w:r>
      <w:r>
        <w:rPr>
          <w:rFonts w:hint="eastAsia" w:ascii="宋体" w:hAnsi="宋体" w:eastAsia="宋体" w:cs="宋体"/>
          <w:sz w:val="24"/>
          <w:szCs w:val="24"/>
        </w:rPr>
        <w:tab/>
      </w:r>
      <w:r>
        <w:rPr>
          <w:rFonts w:hint="eastAsia" w:ascii="宋体" w:hAnsi="宋体" w:eastAsia="宋体" w:cs="宋体"/>
          <w:sz w:val="24"/>
          <w:szCs w:val="24"/>
        </w:rPr>
        <w:t xml:space="preserve">相控阵扇扫探头、90°角，18cm深满屏显示，彩色组织多普勒帧频≥139帧/s (附图显示）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.5.5</w:t>
      </w:r>
      <w:r>
        <w:rPr>
          <w:rFonts w:hint="eastAsia" w:ascii="宋体" w:hAnsi="宋体" w:eastAsia="宋体" w:cs="宋体"/>
          <w:sz w:val="24"/>
          <w:szCs w:val="24"/>
        </w:rPr>
        <w:tab/>
      </w:r>
      <w:r>
        <w:rPr>
          <w:rFonts w:hint="eastAsia" w:ascii="宋体" w:hAnsi="宋体" w:eastAsia="宋体" w:cs="宋体"/>
          <w:sz w:val="24"/>
          <w:szCs w:val="24"/>
        </w:rPr>
        <w:t>显示位置调整：线阵扫描感兴趣的图像范围： -30°- +30°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.5.6</w:t>
      </w:r>
      <w:r>
        <w:rPr>
          <w:rFonts w:hint="eastAsia" w:ascii="宋体" w:hAnsi="宋体" w:eastAsia="宋体" w:cs="宋体"/>
          <w:sz w:val="24"/>
          <w:szCs w:val="24"/>
        </w:rPr>
        <w:tab/>
      </w:r>
      <w:r>
        <w:rPr>
          <w:rFonts w:hint="eastAsia" w:ascii="宋体" w:hAnsi="宋体" w:eastAsia="宋体" w:cs="宋体"/>
          <w:sz w:val="24"/>
          <w:szCs w:val="24"/>
        </w:rPr>
        <w:t>显示控制：零位移动分±15级、黑/白与彩色比较、彩色对比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.5.7</w:t>
      </w:r>
      <w:r>
        <w:rPr>
          <w:rFonts w:hint="eastAsia" w:ascii="宋体" w:hAnsi="宋体" w:eastAsia="宋体" w:cs="宋体"/>
          <w:sz w:val="24"/>
          <w:szCs w:val="24"/>
        </w:rPr>
        <w:tab/>
      </w:r>
      <w:r>
        <w:rPr>
          <w:rFonts w:hint="eastAsia" w:ascii="宋体" w:hAnsi="宋体" w:eastAsia="宋体" w:cs="宋体"/>
          <w:sz w:val="24"/>
          <w:szCs w:val="24"/>
        </w:rPr>
        <w:t>彩色显示速度：最低平均血流显示速度：≤10mm/s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.5.8</w:t>
      </w:r>
      <w:r>
        <w:rPr>
          <w:rFonts w:hint="eastAsia" w:ascii="宋体" w:hAnsi="宋体" w:eastAsia="宋体" w:cs="宋体"/>
          <w:sz w:val="24"/>
          <w:szCs w:val="24"/>
        </w:rPr>
        <w:tab/>
      </w:r>
      <w:r>
        <w:rPr>
          <w:rFonts w:hint="eastAsia" w:ascii="宋体" w:hAnsi="宋体" w:eastAsia="宋体" w:cs="宋体"/>
          <w:sz w:val="24"/>
          <w:szCs w:val="24"/>
        </w:rPr>
        <w:t>实时组织多普勒速度成像、实时组织多普勒位移成像,可M型、直线解剖M型、曲线解剖M型及频谱分析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.6</w:t>
      </w:r>
      <w:r>
        <w:rPr>
          <w:rFonts w:hint="eastAsia" w:ascii="宋体" w:hAnsi="宋体" w:eastAsia="宋体" w:cs="宋体"/>
          <w:b/>
          <w:bCs/>
          <w:sz w:val="24"/>
          <w:szCs w:val="24"/>
        </w:rPr>
        <w:tab/>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超声功率输出调节:</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B/M、CWD、PWD、Color Doppler输出功率可调</w:t>
      </w:r>
    </w:p>
    <w:p>
      <w:pPr>
        <w:keepNext w:val="0"/>
        <w:keepLines w:val="0"/>
        <w:pageBreakBefore w:val="0"/>
        <w:widowControl w:val="0"/>
        <w:numPr>
          <w:ilvl w:val="0"/>
          <w:numId w:val="39"/>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其它</w:t>
      </w:r>
      <w:r>
        <w:rPr>
          <w:rFonts w:hint="eastAsia" w:ascii="宋体" w:hAnsi="宋体" w:eastAsia="宋体" w:cs="宋体"/>
          <w:b/>
          <w:bCs/>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超声工作站一套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高清采集卡一套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宋体" w:cs="Times New Roman"/>
          <w:b/>
          <w:color w:val="000000"/>
          <w:sz w:val="24"/>
          <w:szCs w:val="32"/>
          <w:highlight w:val="none"/>
        </w:rPr>
      </w:pPr>
      <w:r>
        <w:rPr>
          <w:rFonts w:hint="eastAsia" w:ascii="Calibri" w:hAnsi="Calibri" w:eastAsia="宋体" w:cs="Times New Roman"/>
          <w:b/>
          <w:color w:val="000000"/>
          <w:sz w:val="24"/>
          <w:szCs w:val="32"/>
          <w:highlight w:val="none"/>
          <w:lang w:eastAsia="zh-CN"/>
        </w:rPr>
        <w:t>注：</w:t>
      </w:r>
      <w:r>
        <w:rPr>
          <w:rFonts w:hint="eastAsia" w:ascii="Calibri" w:hAnsi="Calibri" w:eastAsia="宋体" w:cs="Times New Roman"/>
          <w:b/>
          <w:color w:val="000000"/>
          <w:sz w:val="24"/>
          <w:szCs w:val="32"/>
          <w:highlight w:val="none"/>
        </w:rPr>
        <w:t>以上技术要求中加注</w:t>
      </w:r>
      <w:r>
        <w:rPr>
          <w:rFonts w:hint="eastAsia" w:ascii="宋体" w:hAnsi="宋体" w:eastAsia="宋体" w:cs="Times New Roman"/>
          <w:b/>
          <w:color w:val="000000"/>
          <w:sz w:val="24"/>
          <w:szCs w:val="32"/>
          <w:highlight w:val="none"/>
        </w:rPr>
        <w:t>“★</w:t>
      </w:r>
      <w:r>
        <w:rPr>
          <w:rFonts w:hint="eastAsia" w:ascii="Calibri" w:hAnsi="Calibri" w:eastAsia="宋体" w:cs="Times New Roman"/>
          <w:b/>
          <w:color w:val="000000"/>
          <w:sz w:val="24"/>
          <w:szCs w:val="32"/>
          <w:highlight w:val="none"/>
        </w:rPr>
        <w:t>”号标识的为重要技术参数，负偏离时作为评分因素考量。</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Calibri" w:hAnsi="Calibri" w:eastAsia="宋体" w:cs="Times New Roman"/>
          <w:b/>
          <w:color w:val="000000"/>
          <w:sz w:val="24"/>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Calibri" w:hAnsi="Calibri" w:eastAsia="宋体" w:cs="Times New Roman"/>
          <w:b/>
          <w:color w:val="000000"/>
          <w:sz w:val="24"/>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Calibri" w:hAnsi="Calibri" w:eastAsia="宋体" w:cs="Times New Roman"/>
          <w:b/>
          <w:color w:val="000000"/>
          <w:sz w:val="24"/>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Calibri" w:hAnsi="Calibri" w:eastAsia="宋体" w:cs="Times New Roman"/>
          <w:b/>
          <w:color w:val="000000"/>
          <w:sz w:val="24"/>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Calibri" w:hAnsi="Calibri" w:eastAsia="宋体" w:cs="Times New Roman"/>
          <w:b/>
          <w:color w:val="000000"/>
          <w:sz w:val="24"/>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p>
    <w:p>
      <w:pPr>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三、商务要求：</w:t>
      </w:r>
    </w:p>
    <w:p>
      <w:pPr>
        <w:pStyle w:val="39"/>
        <w:numPr>
          <w:ilvl w:val="0"/>
          <w:numId w:val="40"/>
        </w:numPr>
        <w:spacing w:line="360" w:lineRule="auto"/>
        <w:ind w:firstLineChars="0"/>
        <w:rPr>
          <w:rFonts w:hint="eastAsia" w:ascii="宋体" w:hAnsi="宋体" w:eastAsia="宋体" w:cs="宋体"/>
          <w:sz w:val="24"/>
          <w:highlight w:val="none"/>
        </w:rPr>
      </w:pPr>
      <w:r>
        <w:rPr>
          <w:rFonts w:hint="eastAsia" w:ascii="宋体" w:hAnsi="宋体" w:eastAsia="宋体" w:cs="宋体"/>
          <w:b/>
          <w:color w:val="000000"/>
          <w:sz w:val="24"/>
          <w:szCs w:val="24"/>
          <w:highlight w:val="none"/>
        </w:rPr>
        <w:t>交货验收与工期：</w:t>
      </w:r>
      <w:r>
        <w:rPr>
          <w:rFonts w:hint="eastAsia" w:ascii="宋体" w:hAnsi="宋体" w:eastAsia="宋体" w:cs="宋体"/>
          <w:sz w:val="24"/>
          <w:highlight w:val="none"/>
        </w:rPr>
        <w:t>签定合同后按合同和招标、投标文件约定的要求和标准进行交货验收，交货期为签定合同后</w:t>
      </w:r>
      <w:r>
        <w:rPr>
          <w:rFonts w:hint="eastAsia" w:ascii="宋体" w:hAnsi="宋体" w:eastAsia="宋体" w:cs="宋体"/>
          <w:b/>
          <w:color w:val="000000"/>
          <w:sz w:val="24"/>
          <w:highlight w:val="none"/>
          <w:lang w:val="en-US" w:eastAsia="zh-CN"/>
        </w:rPr>
        <w:t>20</w:t>
      </w:r>
      <w:r>
        <w:rPr>
          <w:rFonts w:hint="eastAsia" w:ascii="宋体" w:hAnsi="宋体" w:eastAsia="宋体" w:cs="宋体"/>
          <w:b/>
          <w:color w:val="000000"/>
          <w:sz w:val="24"/>
          <w:highlight w:val="none"/>
        </w:rPr>
        <w:t>天内（日历</w:t>
      </w:r>
      <w:r>
        <w:rPr>
          <w:rFonts w:hint="eastAsia" w:ascii="宋体" w:hAnsi="宋体" w:eastAsia="宋体" w:cs="宋体"/>
          <w:b/>
          <w:color w:val="000000"/>
          <w:sz w:val="24"/>
          <w:highlight w:val="none"/>
          <w:lang w:eastAsia="zh-CN"/>
        </w:rPr>
        <w:t>天</w:t>
      </w:r>
      <w:r>
        <w:rPr>
          <w:rFonts w:hint="eastAsia" w:ascii="宋体" w:hAnsi="宋体" w:eastAsia="宋体" w:cs="宋体"/>
          <w:b/>
          <w:color w:val="000000"/>
          <w:sz w:val="24"/>
          <w:highlight w:val="none"/>
        </w:rPr>
        <w:t>）</w:t>
      </w:r>
      <w:r>
        <w:rPr>
          <w:rFonts w:hint="eastAsia" w:ascii="宋体" w:hAnsi="宋体" w:eastAsia="宋体" w:cs="宋体"/>
          <w:color w:val="000000"/>
          <w:sz w:val="24"/>
          <w:highlight w:val="none"/>
        </w:rPr>
        <w:t>。“交货</w:t>
      </w:r>
      <w:r>
        <w:rPr>
          <w:rFonts w:hint="eastAsia" w:ascii="宋体" w:hAnsi="宋体" w:eastAsia="宋体" w:cs="宋体"/>
          <w:sz w:val="24"/>
          <w:highlight w:val="none"/>
        </w:rPr>
        <w:t>期”指所有货物运抵现场安装调试完毕后交付用户验收的日期。</w:t>
      </w:r>
    </w:p>
    <w:p>
      <w:pPr>
        <w:pStyle w:val="39"/>
        <w:numPr>
          <w:ilvl w:val="0"/>
          <w:numId w:val="40"/>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交货地点：阳新县人民医院指定地点。</w:t>
      </w:r>
    </w:p>
    <w:p>
      <w:pPr>
        <w:keepNext w:val="0"/>
        <w:keepLines w:val="0"/>
        <w:pageBreakBefore w:val="0"/>
        <w:widowControl w:val="0"/>
        <w:numPr>
          <w:ilvl w:val="0"/>
          <w:numId w:val="40"/>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t>质保期：</w:t>
      </w:r>
      <w:r>
        <w:rPr>
          <w:rFonts w:hint="eastAsia" w:ascii="宋体" w:hAnsi="宋体" w:eastAsia="宋体" w:cs="宋体"/>
          <w:b/>
          <w:color w:val="000000"/>
          <w:sz w:val="24"/>
          <w:szCs w:val="24"/>
          <w:highlight w:val="none"/>
          <w:lang w:val="en-US" w:eastAsia="zh-CN"/>
        </w:rPr>
        <w:t>1年。</w:t>
      </w:r>
    </w:p>
    <w:p>
      <w:pPr>
        <w:keepNext w:val="0"/>
        <w:keepLines w:val="0"/>
        <w:pageBreakBefore w:val="0"/>
        <w:widowControl w:val="0"/>
        <w:numPr>
          <w:ilvl w:val="0"/>
          <w:numId w:val="40"/>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  开机率≥98%，仪器故障要求12小时内应答，24小时形成解决方案。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 投标人需要在中国大陆地区设有售后服务机构和设施，并配备受过专业培训的售后服务人员。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 为保证设备正常运行，投标人应在中国境内方便的地方设置备件库，存入所有必须的备件，并保证5年以上的供应期，提供400全国免费电话。</w:t>
      </w:r>
    </w:p>
    <w:p>
      <w:pPr>
        <w:pStyle w:val="39"/>
        <w:numPr>
          <w:ilvl w:val="0"/>
          <w:numId w:val="0"/>
        </w:numPr>
        <w:spacing w:line="360" w:lineRule="auto"/>
        <w:ind w:leftChars="0"/>
        <w:rPr>
          <w:rFonts w:hint="eastAsia" w:ascii="宋体" w:hAnsi="宋体" w:eastAsia="宋体" w:cs="宋体"/>
          <w:b/>
          <w:color w:val="000000"/>
          <w:sz w:val="24"/>
          <w:szCs w:val="24"/>
          <w:highlight w:val="none"/>
        </w:rPr>
      </w:pPr>
      <w:r>
        <w:rPr>
          <w:rFonts w:hint="eastAsia" w:ascii="宋体" w:hAnsi="宋体" w:eastAsia="宋体" w:cs="宋体"/>
          <w:b w:val="0"/>
          <w:bCs w:val="0"/>
          <w:sz w:val="24"/>
          <w:szCs w:val="24"/>
          <w:lang w:val="en-US" w:eastAsia="zh-CN"/>
        </w:rPr>
        <w:t>4.4现场培训：投标人提供现场技术培训，保证使用人员能够正确操作设备的各项功能。</w:t>
      </w:r>
    </w:p>
    <w:p>
      <w:pPr>
        <w:pStyle w:val="39"/>
        <w:numPr>
          <w:ilvl w:val="0"/>
          <w:numId w:val="40"/>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付款方式：</w:t>
      </w:r>
      <w:r>
        <w:rPr>
          <w:rFonts w:hint="eastAsia" w:ascii="宋体" w:hAnsi="宋体" w:eastAsia="宋体" w:cs="宋体"/>
          <w:b/>
          <w:color w:val="000000"/>
          <w:sz w:val="24"/>
          <w:szCs w:val="24"/>
          <w:highlight w:val="none"/>
          <w:lang w:val="en-US" w:eastAsia="zh-CN"/>
        </w:rPr>
        <w:t>验收合格</w:t>
      </w:r>
      <w:r>
        <w:rPr>
          <w:rFonts w:hint="eastAsia" w:ascii="宋体" w:hAnsi="宋体" w:eastAsia="宋体" w:cs="宋体"/>
          <w:b/>
          <w:color w:val="000000"/>
          <w:sz w:val="24"/>
          <w:szCs w:val="24"/>
          <w:highlight w:val="none"/>
        </w:rPr>
        <w:t>后付全款的90%，余下10%质保期结束后付清。</w:t>
      </w:r>
    </w:p>
    <w:p>
      <w:pPr>
        <w:pStyle w:val="39"/>
        <w:numPr>
          <w:ilvl w:val="0"/>
          <w:numId w:val="40"/>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其他要求：</w:t>
      </w:r>
    </w:p>
    <w:p>
      <w:pPr>
        <w:pStyle w:val="39"/>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本项目采购预算控制总金额为</w:t>
      </w:r>
      <w:r>
        <w:rPr>
          <w:rFonts w:hint="eastAsia" w:ascii="宋体" w:hAnsi="宋体" w:eastAsia="宋体" w:cs="宋体"/>
          <w:b/>
          <w:sz w:val="24"/>
          <w:szCs w:val="24"/>
          <w:highlight w:val="none"/>
          <w:lang w:val="en-US" w:eastAsia="zh-CN"/>
        </w:rPr>
        <w:t>290</w:t>
      </w:r>
      <w:r>
        <w:rPr>
          <w:rFonts w:hint="eastAsia" w:ascii="宋体" w:hAnsi="宋体" w:eastAsia="宋体" w:cs="宋体"/>
          <w:sz w:val="24"/>
          <w:szCs w:val="24"/>
          <w:highlight w:val="none"/>
        </w:rPr>
        <w:t>万元，超出预算控制金额将导致其报价无效。</w:t>
      </w:r>
    </w:p>
    <w:p>
      <w:pPr>
        <w:pStyle w:val="39"/>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投标人不得以低于成本的报价进行投标，低于成本价的将导致其投标无效。</w:t>
      </w:r>
    </w:p>
    <w:p>
      <w:pPr>
        <w:pStyle w:val="39"/>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6.3本</w:t>
      </w:r>
      <w:r>
        <w:rPr>
          <w:rFonts w:hint="eastAsia" w:ascii="宋体" w:hAnsi="宋体" w:eastAsia="宋体" w:cs="宋体"/>
          <w:sz w:val="24"/>
          <w:szCs w:val="24"/>
          <w:highlight w:val="none"/>
        </w:rPr>
        <w:t>项目已经政府采购主管部门审核同意，可以采购进口产品，但不限制符合招标要求的国内产品参与采购竞争。采购进口产品时评标委员会将优先考虑向我国企业转让技术、与我国企业签订消化吸收再创新方案的供应商的进口产品。</w:t>
      </w:r>
    </w:p>
    <w:p>
      <w:pPr>
        <w:pStyle w:val="39"/>
        <w:numPr>
          <w:ilvl w:val="0"/>
          <w:numId w:val="0"/>
        </w:numPr>
        <w:tabs>
          <w:tab w:val="left" w:pos="426"/>
        </w:tabs>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本项目投标报价包含但不限于：设备价（包括硬件、软件）、运至合同指定地点的运输费、安装费（包括损耗、额外材料等）、保险费、安装、技术培训费、各种税费等。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rPr>
      </w:pPr>
    </w:p>
    <w:p>
      <w:pPr>
        <w:widowControl/>
        <w:jc w:val="left"/>
        <w:rPr>
          <w:rFonts w:ascii="Calibri" w:hAnsi="宋体" w:eastAsia="宋体" w:cs="Times New Roman"/>
          <w:sz w:val="24"/>
          <w:szCs w:val="24"/>
        </w:rPr>
      </w:pPr>
    </w:p>
    <w:p>
      <w:pPr>
        <w:pStyle w:val="3"/>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2" w:name="_Toc494561958"/>
      <w:bookmarkStart w:id="43" w:name="_Toc495861539"/>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color w:val="0D0D0D"/>
          <w:sz w:val="24"/>
          <w:szCs w:val="20"/>
          <w:lang w:val="zh-CN"/>
        </w:rPr>
        <w:t>成立资格审查小组，依据法律、法规及招标文件的规定，对投标人的资格进行审查，以确定投标人资格是否合格。</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4" w:name="_Toc495861540"/>
      <w:bookmarkStart w:id="45" w:name="_Toc494561959"/>
      <w:r>
        <w:rPr>
          <w:rFonts w:hint="eastAsia" w:cs="Times New Roman" w:asciiTheme="majorEastAsia" w:hAnsiTheme="majorEastAsia"/>
          <w:bCs w:val="0"/>
          <w:sz w:val="30"/>
          <w:szCs w:val="30"/>
          <w:lang w:val="zh-CN"/>
        </w:rPr>
        <w:t>资格审查标准</w:t>
      </w:r>
      <w:bookmarkEnd w:id="44"/>
      <w:bookmarkEnd w:id="45"/>
    </w:p>
    <w:p>
      <w:pPr>
        <w:numPr>
          <w:ilvl w:val="0"/>
          <w:numId w:val="42"/>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28"/>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28"/>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28"/>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28"/>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28"/>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28"/>
        <w:numPr>
          <w:ilvl w:val="0"/>
          <w:numId w:val="44"/>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28"/>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8"/>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28"/>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28"/>
        <w:numPr>
          <w:ilvl w:val="0"/>
          <w:numId w:val="43"/>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numPr>
          <w:ilvl w:val="0"/>
          <w:numId w:val="0"/>
        </w:numPr>
        <w:tabs>
          <w:tab w:val="left" w:pos="616"/>
        </w:tabs>
        <w:spacing w:line="360" w:lineRule="auto"/>
        <w:ind w:left="252" w:leftChars="0"/>
        <w:rPr>
          <w:rFonts w:ascii="宋体" w:hAnsi="宋体" w:eastAsia="宋体" w:cs="Times New Roman"/>
          <w:b/>
          <w:sz w:val="24"/>
          <w:szCs w:val="24"/>
          <w:lang w:val="zh-CN"/>
        </w:rPr>
      </w:pPr>
      <w:r>
        <w:rPr>
          <w:rFonts w:hint="eastAsia" w:ascii="宋体" w:hAnsi="宋体"/>
          <w:color w:val="000000"/>
          <w:sz w:val="24"/>
          <w:szCs w:val="24"/>
          <w:lang w:val="en-US" w:eastAsia="zh-CN"/>
        </w:rPr>
        <w:t xml:space="preserve">1.6 </w:t>
      </w:r>
      <w:r>
        <w:rPr>
          <w:rFonts w:hint="eastAsia" w:ascii="宋体" w:hAnsi="宋体"/>
          <w:color w:val="000000"/>
          <w:sz w:val="24"/>
          <w:szCs w:val="24"/>
          <w:lang w:val="zh-CN"/>
        </w:rPr>
        <w:t>资格证明文件正本应为清晰彩色影印件且加盖单位公章。</w:t>
      </w:r>
    </w:p>
    <w:p>
      <w:pPr>
        <w:numPr>
          <w:ilvl w:val="0"/>
          <w:numId w:val="42"/>
        </w:numPr>
        <w:tabs>
          <w:tab w:val="left" w:pos="616"/>
        </w:tabs>
        <w:spacing w:line="360" w:lineRule="auto"/>
        <w:ind w:left="14" w:leftChars="0" w:firstLine="238" w:firstLineChars="0"/>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8"/>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8"/>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8"/>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8"/>
        <w:numPr>
          <w:ilvl w:val="0"/>
          <w:numId w:val="45"/>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47" w:name="_Toc272247708"/>
      <w:bookmarkStart w:id="48" w:name="_Toc278891605"/>
      <w:bookmarkStart w:id="49" w:name="_Toc495861542"/>
      <w:bookmarkStart w:id="50" w:name="_Toc494561961"/>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1" w:name="_Toc278891606"/>
      <w:bookmarkStart w:id="52" w:name="_Toc272247709"/>
      <w:bookmarkStart w:id="53" w:name="_Toc494561962"/>
      <w:bookmarkStart w:id="54" w:name="_Toc495861543"/>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7"/>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8"/>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9"/>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9"/>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2"/>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2"/>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3"/>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lang w:val="zh-CN"/>
        </w:rPr>
      </w:pPr>
    </w:p>
    <w:p>
      <w:pPr>
        <w:pStyle w:val="4"/>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5" w:name="_Toc494561963"/>
      <w:bookmarkStart w:id="56" w:name="_Toc495861544"/>
      <w:r>
        <w:rPr>
          <w:rFonts w:hint="eastAsia" w:cs="Times New Roman" w:asciiTheme="majorEastAsia" w:hAnsiTheme="majorEastAsia"/>
          <w:bCs w:val="0"/>
          <w:sz w:val="30"/>
          <w:szCs w:val="30"/>
          <w:lang w:val="zh-CN"/>
        </w:rPr>
        <w:t>评审因素及评分标准</w:t>
      </w:r>
      <w:bookmarkEnd w:id="55"/>
      <w:bookmarkEnd w:id="56"/>
    </w:p>
    <w:tbl>
      <w:tblPr>
        <w:tblStyle w:val="18"/>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 评议</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0"/>
              <w:ind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议</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完全满足用户的要求，或有优于用户的技术参数（投标人需提供所投产品的彩页样本或检验报告，如投标人技术响应内容与产品彩页样本或检验报告不一致的本项得0分），且能详细描述，综合评价最优的得</w:t>
            </w:r>
            <w:r>
              <w:rPr>
                <w:rFonts w:hint="eastAsia" w:asciiTheme="minorEastAsia" w:hAnsiTheme="minorEastAsia" w:eastAsiaTheme="minorEastAsia" w:cstheme="minorEastAsia"/>
                <w:kern w:val="0"/>
                <w:sz w:val="24"/>
                <w:szCs w:val="24"/>
                <w:highlight w:val="none"/>
                <w:lang w:val="en-US" w:eastAsia="zh-CN"/>
              </w:rPr>
              <w:t>50</w:t>
            </w:r>
            <w:r>
              <w:rPr>
                <w:rFonts w:hint="eastAsia" w:asciiTheme="minorEastAsia" w:hAnsiTheme="minorEastAsia" w:eastAsiaTheme="minorEastAsia" w:cstheme="minorEastAsia"/>
                <w:kern w:val="0"/>
                <w:sz w:val="24"/>
                <w:szCs w:val="24"/>
                <w:highlight w:val="none"/>
              </w:rPr>
              <w:t>分。</w:t>
            </w:r>
          </w:p>
          <w:p>
            <w:pPr>
              <w:numPr>
                <w:ilvl w:val="0"/>
                <w:numId w:val="0"/>
              </w:numPr>
              <w:jc w:val="left"/>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宋体" w:hAnsi="宋体" w:eastAsia="宋体" w:cs="宋体"/>
                <w:b/>
                <w:color w:val="000000"/>
                <w:sz w:val="24"/>
                <w:szCs w:val="24"/>
                <w:highlight w:val="none"/>
              </w:rPr>
              <w:t>★</w:t>
            </w:r>
            <w:r>
              <w:rPr>
                <w:rFonts w:hint="eastAsia" w:asciiTheme="minorEastAsia" w:hAnsiTheme="minorEastAsia" w:eastAsiaTheme="minorEastAsia" w:cstheme="minorEastAsia"/>
                <w:sz w:val="24"/>
                <w:szCs w:val="24"/>
                <w:highlight w:val="none"/>
              </w:rPr>
              <w:t>”号标识的条款，为重要技术参数，每一项负偏离，扣5分；其他参数，每一项负偏离，扣2分，</w:t>
            </w:r>
            <w:r>
              <w:rPr>
                <w:rFonts w:hint="eastAsia" w:asciiTheme="minorEastAsia" w:hAnsiTheme="minorEastAsia" w:cstheme="minorEastAsia"/>
                <w:sz w:val="24"/>
                <w:szCs w:val="24"/>
                <w:highlight w:val="none"/>
                <w:lang w:eastAsia="zh-CN"/>
              </w:rPr>
              <w:t>累计</w:t>
            </w:r>
            <w:r>
              <w:rPr>
                <w:rFonts w:hint="eastAsia" w:asciiTheme="minorEastAsia" w:hAnsiTheme="minorEastAsia" w:eastAsiaTheme="minorEastAsia" w:cstheme="minorEastAsia"/>
                <w:sz w:val="24"/>
                <w:szCs w:val="24"/>
                <w:highlight w:val="none"/>
              </w:rPr>
              <w:t>扣完</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eastAsia="zh-CN"/>
              </w:rPr>
              <w:t>务</w:t>
            </w:r>
          </w:p>
          <w:p>
            <w:pPr>
              <w:widowControl/>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kern w:val="0"/>
                <w:sz w:val="24"/>
                <w:szCs w:val="24"/>
              </w:rPr>
            </w:pPr>
            <w:r>
              <w:rPr>
                <w:rFonts w:hint="eastAsia" w:asciiTheme="minorEastAsia" w:hAnsiTheme="minorEastAsia" w:eastAsiaTheme="minorEastAsia" w:cstheme="minorEastAsia"/>
                <w:kern w:val="0"/>
                <w:sz w:val="24"/>
                <w:szCs w:val="24"/>
                <w:highlight w:val="none"/>
              </w:rPr>
              <w:t>投标文件全面响应招标文件要求，编制完整、非活页装订，且有详细目录、连续页码、目录与有关材料装订顺序对应清晰、查阅方便得</w:t>
            </w: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分。编排杂乱无章、叙述答非所问、资料残缺不全、资料模糊不清、前后不一致等，每处扣</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rPr>
              <w:t>根据投标人</w:t>
            </w:r>
            <w:r>
              <w:rPr>
                <w:rFonts w:hint="eastAsia" w:asciiTheme="minorEastAsia" w:hAnsiTheme="minorEastAsia" w:cstheme="minorEastAsia"/>
                <w:color w:val="000000" w:themeColor="text1"/>
                <w:sz w:val="24"/>
                <w:szCs w:val="24"/>
                <w:highlight w:val="none"/>
                <w:lang w:val="en-US" w:eastAsia="zh-CN"/>
              </w:rPr>
              <w:t>提供</w:t>
            </w:r>
            <w:r>
              <w:rPr>
                <w:rFonts w:hint="eastAsia" w:asciiTheme="minorEastAsia" w:hAnsiTheme="minorEastAsia" w:eastAsiaTheme="minorEastAsia" w:cstheme="minorEastAsia"/>
                <w:color w:val="000000" w:themeColor="text1"/>
                <w:sz w:val="24"/>
                <w:szCs w:val="24"/>
                <w:highlight w:val="none"/>
              </w:rPr>
              <w:t>（201</w:t>
            </w:r>
            <w:r>
              <w:rPr>
                <w:rFonts w:hint="eastAsia" w:asciiTheme="minorEastAsia" w:hAnsiTheme="minorEastAsia" w:eastAsiaTheme="minorEastAsia" w:cstheme="minorEastAsia"/>
                <w:color w:val="000000" w:themeColor="text1"/>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rPr>
              <w:t>年</w:t>
            </w:r>
            <w:r>
              <w:rPr>
                <w:rFonts w:hint="eastAsia" w:asciiTheme="minorEastAsia" w:hAnsiTheme="minorEastAsia" w:cstheme="minorEastAsia"/>
                <w:color w:val="000000" w:themeColor="text1"/>
                <w:sz w:val="24"/>
                <w:szCs w:val="24"/>
                <w:highlight w:val="none"/>
                <w:lang w:val="en-US" w:eastAsia="zh-CN"/>
              </w:rPr>
              <w:t>8</w:t>
            </w:r>
            <w:r>
              <w:rPr>
                <w:rFonts w:hint="eastAsia" w:asciiTheme="minorEastAsia" w:hAnsiTheme="minorEastAsia" w:eastAsiaTheme="minorEastAsia" w:cstheme="minorEastAsia"/>
                <w:color w:val="000000" w:themeColor="text1"/>
                <w:sz w:val="24"/>
                <w:szCs w:val="24"/>
                <w:highlight w:val="none"/>
              </w:rPr>
              <w:t>月至今）的类似成功案例进行评分，每提供一份得</w:t>
            </w:r>
            <w:r>
              <w:rPr>
                <w:rFonts w:hint="eastAsia" w:asciiTheme="minorEastAsia" w:hAnsiTheme="minorEastAsia" w:cstheme="minorEastAsia"/>
                <w:color w:val="000000" w:themeColor="text1"/>
                <w:sz w:val="24"/>
                <w:szCs w:val="24"/>
                <w:highlight w:val="none"/>
                <w:lang w:val="en-US" w:eastAsia="zh-CN"/>
              </w:rPr>
              <w:t>0.5</w:t>
            </w:r>
            <w:r>
              <w:rPr>
                <w:rFonts w:hint="eastAsia" w:asciiTheme="minorEastAsia" w:hAnsiTheme="minorEastAsia" w:eastAsiaTheme="minorEastAsia" w:cstheme="minorEastAsia"/>
                <w:color w:val="000000" w:themeColor="text1"/>
                <w:sz w:val="24"/>
                <w:szCs w:val="24"/>
                <w:highlight w:val="none"/>
              </w:rPr>
              <w:t>分，最高得</w:t>
            </w:r>
            <w:r>
              <w:rPr>
                <w:rFonts w:hint="eastAsia" w:asciiTheme="minorEastAsia" w:hAnsi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分。（提供合同</w:t>
            </w:r>
            <w:r>
              <w:rPr>
                <w:rFonts w:hint="eastAsia" w:asciiTheme="minorEastAsia" w:hAnsi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rPr>
              <w:t>投标人提供的售后服务方案安排合理，备品备件供应措施合理，售后服务网点分布广，针对性强得</w:t>
            </w:r>
            <w:r>
              <w:rPr>
                <w:rFonts w:hint="eastAsia" w:asciiTheme="minorEastAsia" w:hAnsiTheme="minorEastAsia" w:cstheme="minorEastAsia"/>
                <w:color w:val="000000" w:themeColor="text1"/>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cstheme="minorEastAsia"/>
                <w:color w:val="000000" w:themeColor="text1"/>
                <w:sz w:val="24"/>
                <w:szCs w:val="24"/>
                <w:highlight w:val="none"/>
                <w:lang w:val="en-US" w:eastAsia="zh-CN"/>
              </w:rPr>
              <w:t>5</w:t>
            </w:r>
            <w:r>
              <w:rPr>
                <w:rFonts w:hint="eastAsia" w:asciiTheme="minorEastAsia" w:hAnsiTheme="minorEastAsia" w:eastAsiaTheme="minorEastAsia" w:cstheme="minorEastAsia"/>
                <w:color w:val="000000" w:themeColor="text1"/>
                <w:sz w:val="24"/>
                <w:szCs w:val="24"/>
                <w:highlight w:val="none"/>
              </w:rPr>
              <w:t>分；方案基本合理，有一定针对性，有售后服务网点得</w:t>
            </w:r>
            <w:r>
              <w:rPr>
                <w:rFonts w:hint="eastAsia" w:asciiTheme="minorEastAsia" w:hAnsi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分；方案简单，售后服务网点较少得</w:t>
            </w:r>
            <w:r>
              <w:rPr>
                <w:rFonts w:hint="eastAsia" w:asciiTheme="minorEastAsia" w:hAnsiTheme="minorEastAsia" w:cstheme="minorEastAsia"/>
                <w:color w:val="000000" w:themeColor="text1"/>
                <w:sz w:val="24"/>
                <w:szCs w:val="24"/>
                <w:highlight w:val="none"/>
                <w:lang w:val="en-US" w:eastAsia="zh-CN"/>
              </w:rPr>
              <w:t>0</w:t>
            </w:r>
            <w:r>
              <w:rPr>
                <w:rFonts w:hint="eastAsia" w:asciiTheme="minorEastAsia" w:hAnsiTheme="minorEastAsia" w:eastAsiaTheme="minorEastAsia" w:cstheme="minorEastAsia"/>
                <w:color w:val="000000" w:themeColor="text1"/>
                <w:sz w:val="24"/>
                <w:szCs w:val="24"/>
                <w:highlight w:val="none"/>
              </w:rPr>
              <w:t>-</w:t>
            </w:r>
            <w:r>
              <w:rPr>
                <w:rFonts w:hint="eastAsia" w:asciiTheme="minorEastAsia" w:hAnsiTheme="minorEastAsia" w:cstheme="minorEastAsia"/>
                <w:color w:val="000000" w:themeColor="text1"/>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rPr>
              <w:t>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rPr>
              <w:t>培训方案</w:t>
            </w:r>
          </w:p>
        </w:tc>
        <w:tc>
          <w:tcPr>
            <w:tcW w:w="6777" w:type="dxa"/>
            <w:tcBorders>
              <w:top w:val="single" w:color="auto" w:sz="4" w:space="0"/>
              <w:left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eastAsiaTheme="minorEastAsia"/>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rPr>
              <w:t>投标人提供的培训方案</w:t>
            </w:r>
            <w:r>
              <w:rPr>
                <w:rFonts w:hint="eastAsia" w:asciiTheme="minorEastAsia" w:hAnsiTheme="minorEastAsia" w:cstheme="minorEastAsia"/>
                <w:color w:val="000000" w:themeColor="text1"/>
                <w:sz w:val="24"/>
                <w:szCs w:val="24"/>
                <w:highlight w:val="none"/>
                <w:lang w:eastAsia="zh-CN"/>
              </w:rPr>
              <w:t>（</w:t>
            </w:r>
            <w:r>
              <w:rPr>
                <w:rFonts w:hint="eastAsia" w:asciiTheme="minorEastAsia" w:hAnsiTheme="minorEastAsia" w:cstheme="minorEastAsia"/>
                <w:color w:val="000000" w:themeColor="text1"/>
                <w:sz w:val="24"/>
                <w:szCs w:val="24"/>
                <w:highlight w:val="none"/>
                <w:lang w:val="en-US" w:eastAsia="zh-CN"/>
              </w:rPr>
              <w:t>包括</w:t>
            </w:r>
            <w:r>
              <w:rPr>
                <w:rFonts w:hint="eastAsia" w:asciiTheme="minorEastAsia" w:hAnsiTheme="minorEastAsia" w:eastAsiaTheme="minorEastAsia" w:cstheme="minorEastAsia"/>
                <w:color w:val="000000" w:themeColor="text1"/>
                <w:sz w:val="24"/>
                <w:szCs w:val="24"/>
                <w:highlight w:val="none"/>
              </w:rPr>
              <w:t>专业技术情况</w:t>
            </w:r>
            <w:r>
              <w:rPr>
                <w:rFonts w:hint="eastAsia" w:asciiTheme="minorEastAsia" w:hAnsi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培训计划等方面</w:t>
            </w:r>
            <w:r>
              <w:rPr>
                <w:rFonts w:hint="eastAsia" w:asciiTheme="minorEastAsia" w:hAnsiTheme="minorEastAsia" w:cstheme="minorEastAsia"/>
                <w:color w:val="000000" w:themeColor="text1"/>
                <w:sz w:val="24"/>
                <w:szCs w:val="24"/>
                <w:highlight w:val="none"/>
                <w:lang w:eastAsia="zh-CN"/>
              </w:rPr>
              <w:t>）</w:t>
            </w:r>
            <w:r>
              <w:rPr>
                <w:rFonts w:hint="eastAsia" w:asciiTheme="minorEastAsia" w:hAnsiTheme="minorEastAsia" w:eastAsiaTheme="minorEastAsia" w:cstheme="minorEastAsia"/>
                <w:color w:val="000000" w:themeColor="text1"/>
                <w:sz w:val="24"/>
                <w:szCs w:val="24"/>
                <w:highlight w:val="none"/>
              </w:rPr>
              <w:t>内容完整、合理、针对性强得</w:t>
            </w:r>
            <w:r>
              <w:rPr>
                <w:rFonts w:hint="eastAsia" w:asciiTheme="minorEastAsia" w:hAnsiTheme="minorEastAsia" w:cstheme="minorEastAsia"/>
                <w:color w:val="000000" w:themeColor="text1"/>
                <w:sz w:val="24"/>
                <w:szCs w:val="24"/>
                <w:highlight w:val="none"/>
                <w:lang w:val="en-US" w:eastAsia="zh-CN"/>
              </w:rPr>
              <w:t>4-5</w:t>
            </w:r>
            <w:r>
              <w:rPr>
                <w:rFonts w:hint="eastAsia" w:asciiTheme="minorEastAsia" w:hAnsiTheme="minorEastAsia" w:eastAsiaTheme="minorEastAsia" w:cstheme="minorEastAsia"/>
                <w:color w:val="000000" w:themeColor="text1"/>
                <w:sz w:val="24"/>
                <w:szCs w:val="24"/>
                <w:highlight w:val="none"/>
              </w:rPr>
              <w:t>分；方案内容完整、计划可行符合项目需求得</w:t>
            </w:r>
            <w:r>
              <w:rPr>
                <w:rFonts w:hint="eastAsia" w:asciiTheme="minorEastAsia" w:hAnsiTheme="minorEastAsia" w:cstheme="minorEastAsia"/>
                <w:color w:val="000000" w:themeColor="text1"/>
                <w:sz w:val="24"/>
                <w:szCs w:val="24"/>
                <w:highlight w:val="none"/>
                <w:lang w:val="en-US" w:eastAsia="zh-CN"/>
              </w:rPr>
              <w:t>2-3</w:t>
            </w:r>
            <w:r>
              <w:rPr>
                <w:rFonts w:hint="eastAsia" w:asciiTheme="minorEastAsia" w:hAnsiTheme="minorEastAsia" w:eastAsiaTheme="minorEastAsia" w:cstheme="minorEastAsia"/>
                <w:color w:val="000000" w:themeColor="text1"/>
                <w:sz w:val="24"/>
                <w:szCs w:val="24"/>
                <w:highlight w:val="none"/>
              </w:rPr>
              <w:t>分；方案内容完整基本符合项目需求得</w:t>
            </w:r>
            <w:r>
              <w:rPr>
                <w:rFonts w:hint="eastAsia" w:asciiTheme="minorEastAsia" w:hAnsiTheme="minorEastAsia" w:cstheme="minorEastAsia"/>
                <w:color w:val="000000" w:themeColor="text1"/>
                <w:sz w:val="24"/>
                <w:szCs w:val="24"/>
                <w:highlight w:val="none"/>
                <w:lang w:val="en-US" w:eastAsia="zh-CN"/>
              </w:rPr>
              <w:t>0-1</w:t>
            </w:r>
            <w:r>
              <w:rPr>
                <w:rFonts w:hint="eastAsia" w:asciiTheme="minorEastAsia" w:hAnsiTheme="minorEastAsia" w:eastAsiaTheme="minorEastAsia" w:cstheme="minorEastAsia"/>
                <w:color w:val="000000" w:themeColor="text1"/>
                <w:sz w:val="24"/>
                <w:szCs w:val="24"/>
                <w:highlight w:val="none"/>
              </w:rPr>
              <w:t>分</w:t>
            </w:r>
            <w:r>
              <w:rPr>
                <w:rFonts w:hint="eastAsia" w:asciiTheme="minorEastAsia" w:hAnsiTheme="minorEastAsia" w:cstheme="minorEastAsia"/>
                <w:color w:val="000000" w:themeColor="text1"/>
                <w:sz w:val="24"/>
                <w:szCs w:val="24"/>
                <w:highlight w:val="none"/>
                <w:lang w:eastAsia="zh-CN"/>
              </w:rPr>
              <w:t>。</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eastAsiaTheme="minorEastAsia" w:cstheme="minorEastAsia"/>
                <w:color w:val="000000" w:themeColor="text1"/>
                <w:spacing w:val="-6"/>
                <w:sz w:val="24"/>
                <w:szCs w:val="24"/>
                <w:highlight w:val="none"/>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rPr>
              <w:t>为确保交货期而采取的保障措施,计划最完善得</w:t>
            </w:r>
            <w:r>
              <w:rPr>
                <w:rFonts w:hint="eastAsia" w:asciiTheme="minorEastAsia" w:hAnsiTheme="minorEastAsia" w:eastAsia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分，计划较详细的得</w:t>
            </w:r>
            <w:r>
              <w:rPr>
                <w:rFonts w:hint="eastAsia" w:asciiTheme="minorEastAsia" w:hAnsiTheme="minorEastAsia" w:eastAsia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分，计划较简单的</w:t>
            </w:r>
            <w:r>
              <w:rPr>
                <w:rFonts w:hint="eastAsia" w:asciiTheme="minorEastAsia" w:hAnsiTheme="minorEastAsia" w:eastAsiaTheme="minorEastAsia" w:cstheme="minorEastAsia"/>
                <w:color w:val="000000" w:themeColor="text1"/>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实施</w:t>
            </w:r>
            <w:r>
              <w:rPr>
                <w:rFonts w:hint="eastAsia" w:asciiTheme="minorEastAsia" w:hAnsiTheme="minorEastAsia" w:eastAsiaTheme="minorEastAsia" w:cstheme="minorEastAsia"/>
                <w:kern w:val="0"/>
                <w:sz w:val="24"/>
                <w:szCs w:val="24"/>
                <w:highlight w:val="none"/>
              </w:rPr>
              <w:t>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rPr>
              <w:t>投标人提供的实施方案（包括安装、调试计划、验收方案）非常完整且合理、可操作性</w:t>
            </w:r>
            <w:r>
              <w:rPr>
                <w:rFonts w:hint="eastAsia" w:asciiTheme="minorEastAsia" w:hAnsiTheme="minorEastAsia" w:cstheme="minorEastAsia"/>
                <w:color w:val="000000" w:themeColor="text1"/>
                <w:sz w:val="24"/>
                <w:szCs w:val="24"/>
                <w:highlight w:val="none"/>
                <w:lang w:val="en-US" w:eastAsia="zh-CN"/>
              </w:rPr>
              <w:t>强</w:t>
            </w:r>
            <w:r>
              <w:rPr>
                <w:rFonts w:hint="eastAsia" w:asciiTheme="minorEastAsia" w:hAnsiTheme="minorEastAsia" w:eastAsiaTheme="minorEastAsia" w:cstheme="minorEastAsia"/>
                <w:color w:val="000000" w:themeColor="text1"/>
                <w:sz w:val="24"/>
                <w:szCs w:val="24"/>
                <w:highlight w:val="none"/>
              </w:rPr>
              <w:t>得</w:t>
            </w:r>
            <w:r>
              <w:rPr>
                <w:rFonts w:hint="eastAsia" w:asciiTheme="minorEastAsia" w:hAnsiTheme="minorEastAsia" w:cstheme="minorEastAsia"/>
                <w:color w:val="000000" w:themeColor="text1"/>
                <w:sz w:val="24"/>
                <w:szCs w:val="24"/>
                <w:highlight w:val="none"/>
                <w:lang w:val="en-US" w:eastAsia="zh-CN"/>
              </w:rPr>
              <w:t>3</w:t>
            </w:r>
            <w:r>
              <w:rPr>
                <w:rFonts w:hint="eastAsia" w:asciiTheme="minorEastAsia" w:hAnsiTheme="minorEastAsia" w:eastAsiaTheme="minorEastAsia" w:cstheme="minorEastAsia"/>
                <w:color w:val="000000" w:themeColor="text1"/>
                <w:sz w:val="24"/>
                <w:szCs w:val="24"/>
                <w:highlight w:val="none"/>
              </w:rPr>
              <w:t>分；</w:t>
            </w:r>
            <w:r>
              <w:rPr>
                <w:rFonts w:hint="eastAsia" w:asciiTheme="minorEastAsia" w:hAnsiTheme="minorEastAsia" w:cstheme="minorEastAsia"/>
                <w:color w:val="000000" w:themeColor="text1"/>
                <w:sz w:val="24"/>
                <w:szCs w:val="24"/>
                <w:highlight w:val="none"/>
                <w:lang w:val="en-US" w:eastAsia="zh-CN"/>
              </w:rPr>
              <w:t>方案</w:t>
            </w:r>
            <w:r>
              <w:rPr>
                <w:rFonts w:hint="eastAsia" w:asciiTheme="minorEastAsia" w:hAnsiTheme="minorEastAsia" w:eastAsiaTheme="minorEastAsia" w:cstheme="minorEastAsia"/>
                <w:color w:val="000000" w:themeColor="text1"/>
                <w:sz w:val="24"/>
                <w:szCs w:val="24"/>
                <w:highlight w:val="none"/>
              </w:rPr>
              <w:t>基本完整、有可操作性得</w:t>
            </w:r>
            <w:r>
              <w:rPr>
                <w:rFonts w:hint="eastAsia" w:asciiTheme="minorEastAsia" w:hAnsiTheme="minorEastAsia" w:cstheme="minorEastAsia"/>
                <w:color w:val="000000" w:themeColor="text1"/>
                <w:sz w:val="24"/>
                <w:szCs w:val="24"/>
                <w:highlight w:val="none"/>
                <w:lang w:val="en-US" w:eastAsia="zh-CN"/>
              </w:rPr>
              <w:t>2</w:t>
            </w:r>
            <w:r>
              <w:rPr>
                <w:rFonts w:hint="eastAsia" w:asciiTheme="minorEastAsia" w:hAnsiTheme="minorEastAsia" w:eastAsiaTheme="minorEastAsia" w:cstheme="minorEastAsia"/>
                <w:color w:val="000000" w:themeColor="text1"/>
                <w:sz w:val="24"/>
                <w:szCs w:val="24"/>
                <w:highlight w:val="none"/>
              </w:rPr>
              <w:t>分；</w:t>
            </w:r>
            <w:r>
              <w:rPr>
                <w:rFonts w:hint="eastAsia" w:asciiTheme="minorEastAsia" w:hAnsiTheme="minorEastAsia" w:cstheme="minorEastAsia"/>
                <w:color w:val="000000" w:themeColor="text1"/>
                <w:sz w:val="24"/>
                <w:szCs w:val="24"/>
                <w:highlight w:val="none"/>
                <w:lang w:val="en-US" w:eastAsia="zh-CN"/>
              </w:rPr>
              <w:t>方案</w:t>
            </w:r>
            <w:r>
              <w:rPr>
                <w:rFonts w:hint="eastAsia" w:asciiTheme="minorEastAsia" w:hAnsiTheme="minorEastAsia" w:eastAsiaTheme="minorEastAsia" w:cstheme="minorEastAsia"/>
                <w:color w:val="000000" w:themeColor="text1"/>
                <w:sz w:val="24"/>
                <w:szCs w:val="24"/>
                <w:highlight w:val="none"/>
              </w:rPr>
              <w:t>简单欠妥、可操作性不高得</w:t>
            </w:r>
            <w:r>
              <w:rPr>
                <w:rFonts w:hint="eastAsia" w:asciiTheme="minorEastAsia" w:hAnsiTheme="minorEastAsia" w:cstheme="minorEastAsia"/>
                <w:color w:val="000000" w:themeColor="text1"/>
                <w:sz w:val="24"/>
                <w:szCs w:val="24"/>
                <w:highlight w:val="none"/>
                <w:lang w:val="en-US" w:eastAsia="zh-CN"/>
              </w:rPr>
              <w:t>1分，未提供则不得分。</w:t>
            </w:r>
            <w:r>
              <w:rPr>
                <w:rFonts w:hint="eastAsia" w:ascii="宋体" w:hAnsi="宋体" w:eastAsia="宋体" w:cs="宋体"/>
                <w:color w:val="auto"/>
                <w:kern w:val="0"/>
                <w:sz w:val="24"/>
                <w:szCs w:val="24"/>
                <w:highlight w:val="none"/>
                <w:lang w:val="en-US" w:eastAsia="zh-CN" w:bidi="ar"/>
              </w:rPr>
              <w:t xml:space="preserve"> </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bl>
    <w:p/>
    <w:p>
      <w:r>
        <w:br w:type="page"/>
      </w:r>
    </w:p>
    <w:p>
      <w:pPr>
        <w:pStyle w:val="3"/>
        <w:numPr>
          <w:ilvl w:val="0"/>
          <w:numId w:val="1"/>
        </w:numPr>
        <w:jc w:val="center"/>
        <w:rPr>
          <w:rFonts w:ascii="黑体" w:hAnsi="黑体" w:eastAsia="黑体"/>
        </w:rPr>
      </w:pPr>
      <w:bookmarkStart w:id="57" w:name="_Toc494745310"/>
      <w:bookmarkStart w:id="58" w:name="_Toc494665546"/>
      <w:bookmarkStart w:id="59" w:name="_Toc494702263"/>
      <w:bookmarkStart w:id="60" w:name="_Toc495861545"/>
      <w:bookmarkStart w:id="61" w:name="_Toc494721093"/>
      <w:bookmarkStart w:id="62" w:name="_Toc494665943"/>
      <w:bookmarkStart w:id="63" w:name="_Toc49466499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9"/>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4" w:name="_Toc494665944"/>
      <w:bookmarkStart w:id="65" w:name="_Toc494702264"/>
      <w:bookmarkStart w:id="66" w:name="_Toc494721094"/>
      <w:bookmarkStart w:id="67" w:name="_Toc494664994"/>
      <w:bookmarkStart w:id="68" w:name="_Toc494745311"/>
      <w:bookmarkStart w:id="69" w:name="_Toc494665547"/>
      <w:bookmarkStart w:id="70" w:name="_Toc495861546"/>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1" w:name="_Toc494702265"/>
      <w:bookmarkStart w:id="72" w:name="_Toc494665945"/>
      <w:bookmarkStart w:id="73" w:name="_Toc495861547"/>
      <w:bookmarkStart w:id="74" w:name="_Toc494745312"/>
      <w:bookmarkStart w:id="75" w:name="_Toc494664995"/>
      <w:bookmarkStart w:id="76" w:name="_Toc494665548"/>
      <w:bookmarkStart w:id="77" w:name="_Toc49472109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8" w:name="_Toc494665946"/>
      <w:bookmarkStart w:id="79" w:name="_Toc494664996"/>
      <w:bookmarkStart w:id="80" w:name="_Toc494665549"/>
      <w:bookmarkStart w:id="81" w:name="_Toc494702266"/>
      <w:bookmarkStart w:id="82" w:name="_Toc494745313"/>
      <w:bookmarkStart w:id="83" w:name="_Toc494721096"/>
      <w:r>
        <w:rPr>
          <w:rFonts w:hint="eastAsia" w:ascii="黑体" w:hAnsi="黑体" w:eastAsia="黑体" w:cs="Times New Roman"/>
          <w:b/>
          <w:sz w:val="36"/>
          <w:szCs w:val="36"/>
        </w:rPr>
        <w:t>资格证明文件组成</w:t>
      </w:r>
      <w:bookmarkEnd w:id="78"/>
      <w:bookmarkEnd w:id="79"/>
      <w:bookmarkEnd w:id="80"/>
      <w:bookmarkEnd w:id="81"/>
      <w:bookmarkEnd w:id="82"/>
      <w:bookmarkEnd w:id="8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8"/>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8"/>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28"/>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8"/>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8"/>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highlight w:val="none"/>
        </w:rPr>
      </w:pPr>
      <w:r>
        <w:rPr>
          <w:rFonts w:hint="eastAsia" w:ascii="宋体" w:hAnsi="宋体" w:eastAsia="宋体" w:cs="Courier New"/>
          <w:color w:val="0D0D0D"/>
          <w:sz w:val="24"/>
          <w:szCs w:val="24"/>
          <w:highlight w:val="none"/>
        </w:rPr>
        <w:t>未被“信用中国”网站(www.creditchina.gov.cn)列入失信被执行人、重大税收违法案件当事人名单</w:t>
      </w:r>
      <w:r>
        <w:rPr>
          <w:rFonts w:hint="eastAsia" w:ascii="宋体" w:hAnsi="宋体" w:eastAsia="宋体" w:cs="Times New Roman"/>
          <w:sz w:val="24"/>
          <w:szCs w:val="24"/>
          <w:highlight w:val="none"/>
        </w:rPr>
        <w:t>和“中国政府采购”网站（www.ccgp.gov.cn）政府采购严重违法失信行为记录名单的网页截图</w:t>
      </w:r>
      <w:r>
        <w:rPr>
          <w:rFonts w:hint="eastAsia" w:ascii="宋体" w:hAnsi="宋体" w:eastAsia="宋体" w:cs="Courier New"/>
          <w:color w:val="0D0D0D"/>
          <w:sz w:val="24"/>
          <w:szCs w:val="24"/>
          <w:highlight w:val="none"/>
        </w:rPr>
        <w:t>；</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4" w:name="_Toc494745314"/>
      <w:bookmarkStart w:id="85" w:name="_Toc494721097"/>
      <w:bookmarkStart w:id="86" w:name="_Toc494702267"/>
      <w:bookmarkStart w:id="87" w:name="_Toc495861548"/>
      <w:bookmarkStart w:id="88" w:name="_Toc494665550"/>
      <w:bookmarkStart w:id="89" w:name="_Toc494665947"/>
      <w:bookmarkStart w:id="90" w:name="_Toc49466499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665948"/>
      <w:bookmarkStart w:id="92" w:name="_Toc494745315"/>
      <w:bookmarkStart w:id="93" w:name="_Toc494665551"/>
      <w:bookmarkStart w:id="94" w:name="_Toc494664998"/>
      <w:bookmarkStart w:id="95" w:name="_Toc494721098"/>
      <w:bookmarkStart w:id="96" w:name="_Toc494702268"/>
      <w:r>
        <w:rPr>
          <w:rFonts w:hint="eastAsia" w:ascii="黑体" w:hAnsi="黑体" w:eastAsia="黑体" w:cs="Times New Roman"/>
          <w:b/>
          <w:sz w:val="36"/>
          <w:szCs w:val="36"/>
        </w:rPr>
        <w:t>商务文件组成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7" w:name="_Toc494702269"/>
      <w:bookmarkStart w:id="98" w:name="_Toc494721099"/>
      <w:bookmarkStart w:id="99" w:name="_Toc494664999"/>
      <w:bookmarkStart w:id="100" w:name="_Toc494665552"/>
      <w:bookmarkStart w:id="101" w:name="_Toc495861549"/>
      <w:bookmarkStart w:id="102" w:name="_Toc494745316"/>
      <w:bookmarkStart w:id="103" w:name="_Toc49466594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665000"/>
      <w:bookmarkStart w:id="105" w:name="_Toc494745317"/>
      <w:bookmarkStart w:id="106" w:name="_Toc494665553"/>
      <w:bookmarkStart w:id="107" w:name="_Toc494702270"/>
      <w:bookmarkStart w:id="108" w:name="_Toc494665950"/>
      <w:bookmarkStart w:id="109" w:name="_Toc49472110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10" w:name="_Toc494702271"/>
      <w:bookmarkStart w:id="111" w:name="_Toc236473298"/>
      <w:bookmarkStart w:id="112" w:name="_Toc494665951"/>
      <w:bookmarkStart w:id="113" w:name="_Toc494721101"/>
      <w:bookmarkStart w:id="114" w:name="_Toc494665554"/>
      <w:bookmarkStart w:id="115" w:name="_Toc494745318"/>
      <w:bookmarkStart w:id="116" w:name="_Toc494665001"/>
      <w:bookmarkStart w:id="117" w:name="_Toc238276242"/>
      <w:bookmarkStart w:id="118" w:name="_Toc495861550"/>
      <w:r>
        <w:rPr>
          <w:rFonts w:hint="eastAsia" w:ascii="宋体" w:hAnsi="宋体" w:eastAsia="宋体"/>
        </w:rPr>
        <w:t>投标书</w:t>
      </w:r>
      <w:bookmarkEnd w:id="110"/>
      <w:bookmarkEnd w:id="111"/>
      <w:bookmarkEnd w:id="112"/>
      <w:bookmarkEnd w:id="113"/>
      <w:bookmarkEnd w:id="114"/>
      <w:bookmarkEnd w:id="115"/>
      <w:bookmarkEnd w:id="116"/>
      <w:bookmarkEnd w:id="117"/>
      <w:bookmarkEnd w:id="118"/>
    </w:p>
    <w:p>
      <w:pPr>
        <w:spacing w:line="360" w:lineRule="auto"/>
        <w:rPr>
          <w:b/>
          <w:sz w:val="28"/>
          <w:szCs w:val="28"/>
        </w:rPr>
      </w:pPr>
      <w:r>
        <w:rPr>
          <w:rFonts w:hint="eastAsia"/>
          <w:b/>
          <w:sz w:val="28"/>
          <w:szCs w:val="28"/>
        </w:rPr>
        <w:t>采购</w:t>
      </w:r>
      <w:r>
        <w:rPr>
          <w:rFonts w:hint="eastAsia"/>
          <w:b/>
          <w:color w:val="auto"/>
          <w:sz w:val="28"/>
          <w:szCs w:val="28"/>
        </w:rPr>
        <w:t>人（或采购代理公司）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19" w:name="_Toc494721102"/>
      <w:bookmarkStart w:id="120" w:name="_Toc494665002"/>
      <w:bookmarkStart w:id="121" w:name="_Toc495861551"/>
      <w:bookmarkStart w:id="122" w:name="_Toc494665952"/>
      <w:bookmarkStart w:id="123" w:name="_Toc494665555"/>
      <w:bookmarkStart w:id="124" w:name="_Toc494702272"/>
      <w:bookmarkStart w:id="125" w:name="_Toc494745319"/>
      <w:r>
        <w:rPr>
          <w:rFonts w:hint="eastAsia" w:ascii="宋体" w:hAnsi="宋体" w:eastAsia="宋体"/>
        </w:rPr>
        <w:t>制造商中小企业声明函</w:t>
      </w:r>
      <w:bookmarkEnd w:id="119"/>
      <w:bookmarkEnd w:id="120"/>
      <w:bookmarkEnd w:id="121"/>
      <w:bookmarkEnd w:id="122"/>
      <w:bookmarkEnd w:id="123"/>
      <w:bookmarkEnd w:id="124"/>
      <w:bookmarkEnd w:id="12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9"/>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9"/>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26" w:name="_Toc495861552"/>
      <w:bookmarkStart w:id="127" w:name="_Toc456264006"/>
      <w:bookmarkStart w:id="128" w:name="_Toc494721103"/>
      <w:bookmarkStart w:id="129" w:name="_Toc494745320"/>
      <w:bookmarkStart w:id="130" w:name="_Toc494702273"/>
      <w:bookmarkStart w:id="131" w:name="_Toc494665556"/>
      <w:bookmarkStart w:id="132" w:name="_Toc494665953"/>
      <w:bookmarkStart w:id="133" w:name="_Toc494665003"/>
      <w:r>
        <w:rPr>
          <w:rFonts w:hint="eastAsia" w:ascii="宋体" w:hAnsi="宋体" w:eastAsia="宋体"/>
        </w:rPr>
        <w:t>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4" w:name="_Toc476153619"/>
      <w:r>
        <w:rPr>
          <w:rFonts w:hint="eastAsia" w:ascii="宋体" w:hAnsi="宋体" w:eastAsia="宋体" w:cs="Times New Roman"/>
          <w:b/>
          <w:sz w:val="30"/>
          <w:szCs w:val="30"/>
          <w:lang w:val="zh-CN"/>
        </w:rPr>
        <w:t>中小企业划型标准</w:t>
      </w:r>
      <w:bookmarkEnd w:id="134"/>
    </w:p>
    <w:tbl>
      <w:tblPr>
        <w:tblStyle w:val="1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64"/>
        </w:numPr>
        <w:spacing w:before="100" w:beforeAutospacing="1" w:afterLines="50" w:line="360" w:lineRule="auto"/>
        <w:ind w:left="1288" w:hanging="1288"/>
        <w:rPr>
          <w:rFonts w:ascii="宋体" w:hAnsi="宋体" w:eastAsia="宋体"/>
        </w:rPr>
      </w:pPr>
      <w:bookmarkStart w:id="135" w:name="_Toc494745321"/>
      <w:bookmarkStart w:id="136" w:name="_Toc494665954"/>
      <w:bookmarkStart w:id="137" w:name="_Toc495861553"/>
      <w:bookmarkStart w:id="138" w:name="_Toc494665004"/>
      <w:bookmarkStart w:id="139" w:name="_Toc494721104"/>
      <w:bookmarkStart w:id="140" w:name="_Toc494665557"/>
      <w:bookmarkStart w:id="141" w:name="_Toc494702274"/>
      <w:r>
        <w:rPr>
          <w:rFonts w:hint="eastAsia" w:ascii="宋体" w:hAnsi="宋体" w:eastAsia="宋体"/>
        </w:rPr>
        <w:t>残疾人福利性单位声明函</w:t>
      </w:r>
      <w:bookmarkEnd w:id="135"/>
      <w:bookmarkEnd w:id="136"/>
      <w:bookmarkEnd w:id="137"/>
      <w:bookmarkEnd w:id="138"/>
      <w:bookmarkEnd w:id="139"/>
      <w:bookmarkEnd w:id="140"/>
      <w:bookmarkEnd w:id="14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pStyle w:val="9"/>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9"/>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9"/>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9"/>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color w:val="auto"/>
          <w:sz w:val="28"/>
          <w:szCs w:val="28"/>
        </w:rPr>
      </w:pPr>
      <w:r>
        <w:rPr>
          <w:rFonts w:hint="eastAsia"/>
          <w:b/>
          <w:sz w:val="28"/>
          <w:szCs w:val="28"/>
        </w:rPr>
        <w:t>采</w:t>
      </w:r>
      <w:r>
        <w:rPr>
          <w:rFonts w:hint="eastAsia"/>
          <w:b/>
          <w:color w:val="auto"/>
          <w:sz w:val="28"/>
          <w:szCs w:val="28"/>
        </w:rPr>
        <w:t>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42" w:name="_Toc494665558"/>
      <w:bookmarkStart w:id="143" w:name="_Toc495861554"/>
      <w:bookmarkStart w:id="144" w:name="_Toc494665005"/>
      <w:bookmarkStart w:id="145" w:name="_Toc494721105"/>
      <w:bookmarkStart w:id="146" w:name="_Toc494665955"/>
      <w:bookmarkStart w:id="147" w:name="_Toc494702275"/>
      <w:bookmarkStart w:id="148" w:name="_Toc494577410"/>
      <w:bookmarkStart w:id="149" w:name="_Toc494745322"/>
      <w:r>
        <w:rPr>
          <w:rFonts w:hint="eastAsia" w:ascii="宋体" w:hAnsi="宋体" w:eastAsia="宋体"/>
        </w:rPr>
        <w:t>开标一览表</w:t>
      </w:r>
      <w:bookmarkEnd w:id="142"/>
      <w:bookmarkEnd w:id="143"/>
      <w:bookmarkEnd w:id="144"/>
      <w:bookmarkEnd w:id="145"/>
      <w:bookmarkEnd w:id="146"/>
      <w:bookmarkEnd w:id="147"/>
      <w:bookmarkEnd w:id="148"/>
      <w:bookmarkEnd w:id="14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50" w:name="_Toc494721106"/>
      <w:bookmarkStart w:id="151" w:name="_Toc494665006"/>
      <w:bookmarkStart w:id="152" w:name="_Toc495861555"/>
      <w:bookmarkStart w:id="153" w:name="_Toc494577411"/>
      <w:bookmarkStart w:id="154" w:name="_Toc494665559"/>
      <w:bookmarkStart w:id="155" w:name="_Toc494665956"/>
      <w:bookmarkStart w:id="156" w:name="_Toc494702276"/>
      <w:bookmarkStart w:id="157" w:name="_Toc494745323"/>
      <w:r>
        <w:rPr>
          <w:rFonts w:hint="eastAsia" w:ascii="宋体" w:hAnsi="宋体" w:eastAsia="宋体"/>
        </w:rPr>
        <w:t>投标报价明细表</w:t>
      </w:r>
      <w:bookmarkEnd w:id="150"/>
      <w:bookmarkEnd w:id="151"/>
      <w:bookmarkEnd w:id="152"/>
      <w:bookmarkEnd w:id="153"/>
      <w:bookmarkEnd w:id="154"/>
      <w:bookmarkEnd w:id="155"/>
      <w:bookmarkEnd w:id="156"/>
      <w:bookmarkEnd w:id="15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sz w:val="31"/>
          <w:szCs w:val="31"/>
        </w:rPr>
      </w:pPr>
      <w:bookmarkStart w:id="158" w:name="_Toc495861556"/>
      <w:bookmarkStart w:id="159" w:name="_Toc494745324"/>
      <w:bookmarkStart w:id="160" w:name="_Toc494721107"/>
      <w:bookmarkStart w:id="161" w:name="_Toc494577412"/>
      <w:bookmarkStart w:id="162" w:name="_Toc494665007"/>
      <w:bookmarkStart w:id="163" w:name="_Toc494665957"/>
      <w:bookmarkStart w:id="164" w:name="_Toc494702277"/>
      <w:bookmarkStart w:id="165" w:name="_Toc494665560"/>
      <w:r>
        <w:rPr>
          <w:rFonts w:hint="eastAsia" w:ascii="宋体" w:hAnsi="宋体" w:eastAsia="宋体"/>
          <w:sz w:val="31"/>
          <w:szCs w:val="31"/>
        </w:rPr>
        <w:t>小型和微型企业、监狱企业、残疾人福利性单位货物汇总表</w:t>
      </w:r>
      <w:bookmarkEnd w:id="158"/>
      <w:bookmarkEnd w:id="159"/>
      <w:bookmarkEnd w:id="160"/>
      <w:bookmarkEnd w:id="161"/>
      <w:bookmarkEnd w:id="162"/>
      <w:bookmarkEnd w:id="163"/>
      <w:bookmarkEnd w:id="164"/>
      <w:bookmarkEnd w:id="1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66" w:name="_Toc494745325"/>
      <w:bookmarkStart w:id="167" w:name="_Toc494665561"/>
      <w:bookmarkStart w:id="168" w:name="_Toc494665008"/>
      <w:bookmarkStart w:id="169" w:name="_Toc495861557"/>
      <w:bookmarkStart w:id="170" w:name="_Toc494721108"/>
      <w:bookmarkStart w:id="171" w:name="_Toc494665958"/>
      <w:bookmarkStart w:id="172" w:name="_Toc494702278"/>
      <w:r>
        <w:rPr>
          <w:rFonts w:hint="eastAsia" w:ascii="宋体" w:hAnsi="宋体" w:eastAsia="宋体"/>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73" w:name="_Toc494665009"/>
      <w:bookmarkStart w:id="174" w:name="_Toc494702279"/>
      <w:bookmarkStart w:id="175" w:name="_Toc494721109"/>
      <w:bookmarkStart w:id="176" w:name="_Toc494745326"/>
      <w:bookmarkStart w:id="177" w:name="_Toc494665562"/>
      <w:bookmarkStart w:id="178" w:name="_Toc495861558"/>
      <w:bookmarkStart w:id="179" w:name="_Toc494665959"/>
      <w:r>
        <w:rPr>
          <w:rFonts w:hint="eastAsia" w:ascii="宋体" w:hAnsi="宋体" w:eastAsia="宋体"/>
        </w:rPr>
        <w:t>交纳投标保证金的银行凭证</w:t>
      </w:r>
      <w:bookmarkEnd w:id="173"/>
      <w:bookmarkEnd w:id="174"/>
      <w:bookmarkEnd w:id="175"/>
      <w:bookmarkEnd w:id="176"/>
      <w:bookmarkEnd w:id="177"/>
      <w:bookmarkEnd w:id="178"/>
      <w:bookmarkEnd w:id="179"/>
    </w:p>
    <w:p>
      <w:pPr>
        <w:spacing w:line="480" w:lineRule="auto"/>
        <w:rPr>
          <w:rFonts w:ascii="宋体" w:hAnsi="宋体" w:cs="Courier New"/>
          <w:b/>
          <w:color w:val="auto"/>
          <w:sz w:val="28"/>
          <w:szCs w:val="28"/>
        </w:rPr>
      </w:pPr>
      <w:r>
        <w:rPr>
          <w:rFonts w:hint="eastAsia"/>
          <w:b/>
          <w:sz w:val="28"/>
          <w:szCs w:val="28"/>
        </w:rPr>
        <w:t>采购人</w:t>
      </w:r>
      <w:r>
        <w:rPr>
          <w:rFonts w:hint="eastAsia"/>
          <w:b/>
          <w:color w:val="auto"/>
          <w:sz w:val="28"/>
          <w:szCs w:val="28"/>
        </w:rPr>
        <w:t>（或代理公司）</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8"/>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8"/>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80" w:name="_Toc494665010"/>
      <w:bookmarkStart w:id="181" w:name="_Toc494702280"/>
      <w:bookmarkStart w:id="182" w:name="_Toc236473303"/>
      <w:bookmarkStart w:id="183" w:name="_Toc494721110"/>
      <w:bookmarkStart w:id="184" w:name="_Toc495861559"/>
      <w:bookmarkStart w:id="185" w:name="_Toc238276247"/>
      <w:bookmarkStart w:id="186" w:name="_Toc494745327"/>
      <w:bookmarkStart w:id="187" w:name="_Toc494665563"/>
      <w:bookmarkStart w:id="188" w:name="_Toc494665960"/>
      <w:r>
        <w:rPr>
          <w:rFonts w:hint="eastAsia" w:ascii="宋体" w:hAnsi="宋体" w:eastAsia="宋体"/>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64"/>
        </w:numPr>
        <w:spacing w:before="100" w:beforeAutospacing="1" w:afterLines="50" w:line="360" w:lineRule="auto"/>
        <w:ind w:left="1610" w:hanging="1610"/>
        <w:rPr>
          <w:rFonts w:ascii="宋体" w:hAnsi="宋体" w:eastAsia="宋体"/>
        </w:rPr>
      </w:pPr>
      <w:bookmarkStart w:id="189" w:name="_Toc494665564"/>
      <w:bookmarkStart w:id="190" w:name="_Toc236473304"/>
      <w:bookmarkStart w:id="191" w:name="_Toc494721111"/>
      <w:bookmarkStart w:id="192" w:name="_Toc494745328"/>
      <w:bookmarkStart w:id="193" w:name="_Toc494665011"/>
      <w:bookmarkStart w:id="194" w:name="_Toc238276248"/>
      <w:bookmarkStart w:id="195" w:name="_Toc494702281"/>
      <w:bookmarkStart w:id="196" w:name="_Toc495861560"/>
      <w:bookmarkStart w:id="197" w:name="_Toc494665961"/>
      <w:r>
        <w:rPr>
          <w:rFonts w:hint="eastAsia" w:ascii="宋体" w:hAnsi="宋体" w:eastAsia="宋体"/>
        </w:rPr>
        <w:t>投标人的资格声明</w:t>
      </w:r>
      <w:bookmarkEnd w:id="189"/>
      <w:bookmarkEnd w:id="190"/>
      <w:bookmarkEnd w:id="191"/>
      <w:bookmarkEnd w:id="192"/>
      <w:bookmarkEnd w:id="193"/>
      <w:bookmarkEnd w:id="194"/>
      <w:bookmarkEnd w:id="195"/>
      <w:bookmarkEnd w:id="196"/>
      <w:bookmarkEnd w:id="19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8"/>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4"/>
        </w:numPr>
        <w:spacing w:before="100" w:beforeAutospacing="1" w:afterLines="50" w:line="360" w:lineRule="auto"/>
        <w:ind w:left="1610" w:hanging="1610"/>
        <w:rPr>
          <w:rFonts w:ascii="宋体" w:hAnsi="宋体" w:eastAsia="宋体"/>
        </w:rPr>
      </w:pPr>
      <w:bookmarkStart w:id="198" w:name="_Toc495861561"/>
      <w:bookmarkStart w:id="199" w:name="_Toc494745329"/>
      <w:bookmarkStart w:id="200" w:name="_Toc494665565"/>
      <w:bookmarkStart w:id="201" w:name="_Toc494702282"/>
      <w:bookmarkStart w:id="202" w:name="_Toc494721112"/>
      <w:bookmarkStart w:id="203" w:name="_Toc494665962"/>
      <w:bookmarkStart w:id="204" w:name="_Toc494665012"/>
      <w:r>
        <w:rPr>
          <w:rFonts w:hint="eastAsia" w:ascii="宋体" w:hAnsi="宋体" w:eastAsia="宋体"/>
        </w:rPr>
        <w:t>项目负责人、技术负责人简历表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05" w:name="_Toc236473307"/>
      <w:bookmarkStart w:id="206" w:name="_Toc494721113"/>
      <w:bookmarkStart w:id="207" w:name="_Toc494665963"/>
      <w:bookmarkStart w:id="208" w:name="_Toc494702283"/>
      <w:bookmarkStart w:id="209" w:name="_Toc494745330"/>
      <w:bookmarkStart w:id="210" w:name="_Toc495861562"/>
      <w:bookmarkStart w:id="211" w:name="_Toc494665566"/>
      <w:bookmarkStart w:id="212" w:name="_Toc238276251"/>
      <w:bookmarkStart w:id="213" w:name="_Toc494665013"/>
      <w:r>
        <w:rPr>
          <w:rFonts w:hint="eastAsia" w:ascii="宋体" w:hAnsi="宋体" w:eastAsia="宋体"/>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14" w:name="_Toc494721114"/>
      <w:bookmarkStart w:id="215" w:name="_Toc494665567"/>
      <w:bookmarkStart w:id="216" w:name="_Toc495861563"/>
      <w:bookmarkStart w:id="217" w:name="_Toc494745331"/>
      <w:bookmarkStart w:id="218" w:name="_Toc236473312"/>
      <w:bookmarkStart w:id="219" w:name="_Toc494665964"/>
      <w:bookmarkStart w:id="220" w:name="_Toc494665014"/>
      <w:bookmarkStart w:id="221" w:name="_Toc494702284"/>
      <w:bookmarkStart w:id="222" w:name="_Toc238276256"/>
      <w:r>
        <w:rPr>
          <w:rFonts w:hint="eastAsia" w:ascii="宋体" w:hAnsi="宋体" w:eastAsia="宋体"/>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23" w:name="_Toc494745332"/>
      <w:bookmarkStart w:id="224" w:name="_Toc494702285"/>
      <w:bookmarkStart w:id="225" w:name="_Toc495861564"/>
      <w:bookmarkStart w:id="226" w:name="_Toc494665965"/>
      <w:bookmarkStart w:id="227" w:name="_Toc494665568"/>
      <w:bookmarkStart w:id="228" w:name="_Toc494665015"/>
      <w:bookmarkStart w:id="229" w:name="_Toc494721115"/>
      <w:r>
        <w:rPr>
          <w:rFonts w:hint="eastAsia" w:ascii="宋体" w:hAnsi="宋体" w:eastAsia="宋体"/>
        </w:rPr>
        <w:t>符合性审查对照表</w:t>
      </w:r>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30" w:name="_Toc495861565"/>
      <w:bookmarkStart w:id="231" w:name="_Toc494745333"/>
      <w:bookmarkStart w:id="232" w:name="_Toc494721116"/>
      <w:bookmarkStart w:id="233" w:name="_Toc494665016"/>
      <w:bookmarkStart w:id="234" w:name="_Toc494665569"/>
      <w:bookmarkStart w:id="235" w:name="_Toc494665966"/>
      <w:bookmarkStart w:id="236" w:name="_Toc494702286"/>
      <w:r>
        <w:rPr>
          <w:rFonts w:hint="eastAsia" w:ascii="宋体" w:hAnsi="宋体" w:eastAsia="宋体"/>
        </w:rPr>
        <w:t>商务要求响应、偏离说明表</w:t>
      </w:r>
      <w:bookmarkEnd w:id="230"/>
      <w:bookmarkEnd w:id="231"/>
      <w:bookmarkEnd w:id="232"/>
      <w:bookmarkEnd w:id="233"/>
      <w:bookmarkEnd w:id="234"/>
      <w:bookmarkEnd w:id="235"/>
      <w:bookmarkEnd w:id="23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37" w:name="_Toc494665967"/>
      <w:bookmarkStart w:id="238" w:name="_Toc494721117"/>
      <w:bookmarkStart w:id="239" w:name="_Toc494665017"/>
      <w:bookmarkStart w:id="240" w:name="_Toc494665570"/>
      <w:bookmarkStart w:id="241" w:name="_Toc495861566"/>
      <w:bookmarkStart w:id="242" w:name="_Toc494702287"/>
      <w:bookmarkStart w:id="243" w:name="_Toc494745334"/>
      <w:r>
        <w:rPr>
          <w:rFonts w:hint="eastAsia" w:ascii="宋体" w:hAnsi="宋体" w:eastAsia="宋体"/>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44" w:name="_Toc494702288"/>
      <w:bookmarkStart w:id="245" w:name="_Toc495861567"/>
      <w:bookmarkStart w:id="246" w:name="_Toc494721118"/>
      <w:bookmarkStart w:id="247" w:name="_Toc494665018"/>
      <w:bookmarkStart w:id="248" w:name="_Toc494665968"/>
      <w:bookmarkStart w:id="249" w:name="_Toc494745335"/>
      <w:bookmarkStart w:id="250" w:name="_Toc494665571"/>
      <w:r>
        <w:rPr>
          <w:rFonts w:hint="eastAsia" w:ascii="宋体" w:hAnsi="宋体" w:eastAsia="宋体"/>
        </w:rPr>
        <w:t>商务评议对照表</w:t>
      </w:r>
      <w:bookmarkEnd w:id="244"/>
      <w:bookmarkEnd w:id="245"/>
      <w:bookmarkEnd w:id="246"/>
      <w:bookmarkEnd w:id="247"/>
      <w:bookmarkEnd w:id="248"/>
      <w:bookmarkEnd w:id="249"/>
      <w:bookmarkEnd w:id="25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51" w:name="_Toc495861568"/>
      <w:bookmarkStart w:id="252" w:name="_Toc494665019"/>
      <w:bookmarkStart w:id="253" w:name="_Toc494702289"/>
      <w:bookmarkStart w:id="254" w:name="_Toc494721119"/>
      <w:bookmarkStart w:id="255" w:name="_Toc494665572"/>
      <w:bookmarkStart w:id="256" w:name="_Toc494665969"/>
      <w:bookmarkStart w:id="257" w:name="_Toc494745336"/>
      <w:r>
        <w:rPr>
          <w:rFonts w:hint="eastAsia" w:ascii="宋体" w:hAnsi="宋体" w:eastAsia="宋体"/>
        </w:rPr>
        <w:t>技术、服务要求响应、偏离说明表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58" w:name="_Toc494721120"/>
      <w:bookmarkStart w:id="259" w:name="_Toc494665020"/>
      <w:bookmarkStart w:id="260" w:name="_Toc494665970"/>
      <w:bookmarkStart w:id="261" w:name="_Toc494702290"/>
      <w:bookmarkStart w:id="262" w:name="_Toc495861569"/>
      <w:bookmarkStart w:id="263" w:name="_Toc494665573"/>
      <w:bookmarkStart w:id="264" w:name="_Toc494745337"/>
      <w:bookmarkStart w:id="265" w:name="_Toc329859066"/>
      <w:r>
        <w:rPr>
          <w:rFonts w:hint="eastAsia" w:ascii="宋体" w:hAnsi="宋体" w:eastAsia="宋体"/>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66" w:name="_Toc494665574"/>
      <w:bookmarkStart w:id="267" w:name="_Toc494745338"/>
      <w:bookmarkStart w:id="268" w:name="_Toc494665021"/>
      <w:bookmarkStart w:id="269" w:name="_Toc494665971"/>
      <w:bookmarkStart w:id="270" w:name="_Toc494721121"/>
      <w:bookmarkStart w:id="271" w:name="_Toc495861570"/>
      <w:bookmarkStart w:id="272" w:name="_Toc494702291"/>
      <w:r>
        <w:rPr>
          <w:rFonts w:hint="eastAsia" w:ascii="宋体" w:hAnsi="宋体" w:eastAsia="宋体"/>
        </w:rPr>
        <w:t>技术、服务评议对照表</w:t>
      </w:r>
      <w:bookmarkEnd w:id="266"/>
      <w:bookmarkEnd w:id="267"/>
      <w:bookmarkEnd w:id="268"/>
      <w:bookmarkEnd w:id="269"/>
      <w:bookmarkEnd w:id="270"/>
      <w:bookmarkEnd w:id="271"/>
      <w:bookmarkEnd w:id="27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8"/>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2"/>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lang w:eastAsia="zh-CN"/>
      </w:rPr>
      <w:t>深圳群伦项目管理有限公司</w:t>
    </w:r>
    <w:r>
      <w:rPr>
        <w:rFonts w:hint="eastAsia" w:asciiTheme="minorEastAsia" w:hAnsiTheme="minorEastAsia"/>
      </w:rPr>
      <w:t>制</w:t>
    </w:r>
  </w:p>
  <w:p>
    <w:pPr>
      <w:pStyle w:val="12"/>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themeColor="text1" w:sz="0" w:space="1"/>
      </w:pBdr>
      <w:tabs>
        <w:tab w:val="clear" w:pos="4153"/>
      </w:tabs>
      <w:jc w:val="left"/>
      <w:rPr>
        <w:rFonts w:hint="eastAsia" w:eastAsiaTheme="minorEastAsia"/>
        <w:b/>
        <w:u w:val="single"/>
        <w:lang w:eastAsia="zh-CN"/>
      </w:rPr>
    </w:pPr>
    <w:r>
      <w:rPr>
        <w:rFonts w:hint="eastAsia"/>
        <w:b/>
        <w:u w:val="single"/>
      </w:rPr>
      <w:t>项目名称</w:t>
    </w:r>
    <w:r>
      <w:rPr>
        <w:rFonts w:hint="eastAsia" w:asciiTheme="minorEastAsia" w:hAnsiTheme="minorEastAsia"/>
        <w:b/>
        <w:u w:val="single"/>
      </w:rPr>
      <w:t>：</w:t>
    </w:r>
    <w:r>
      <w:rPr>
        <w:rFonts w:hint="eastAsia"/>
        <w:b/>
        <w:u w:val="single"/>
        <w:lang w:eastAsia="zh-CN"/>
      </w:rPr>
      <w:t>阳新县人民医院彩色多普勒超声诊断系统采购项目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29FA9"/>
    <w:multiLevelType w:val="singleLevel"/>
    <w:tmpl w:val="9E929FA9"/>
    <w:lvl w:ilvl="0" w:tentative="0">
      <w:start w:val="4"/>
      <w:numFmt w:val="decimal"/>
      <w:suff w:val="space"/>
      <w:lvlText w:val="%1、"/>
      <w:lvlJc w:val="left"/>
    </w:lvl>
  </w:abstractNum>
  <w:abstractNum w:abstractNumId="1">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CC2663"/>
    <w:multiLevelType w:val="multilevel"/>
    <w:tmpl w:val="04CC266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1">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8">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9">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2">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9">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0">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1">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386669A"/>
    <w:multiLevelType w:val="singleLevel"/>
    <w:tmpl w:val="6386669A"/>
    <w:lvl w:ilvl="0" w:tentative="0">
      <w:start w:val="1"/>
      <w:numFmt w:val="chineseCounting"/>
      <w:suff w:val="nothing"/>
      <w:lvlText w:val="%1、"/>
      <w:lvlJc w:val="left"/>
      <w:rPr>
        <w:rFonts w:hint="eastAsia"/>
      </w:rPr>
    </w:lvl>
  </w:abstractNum>
  <w:abstractNum w:abstractNumId="5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B81BFFD"/>
    <w:multiLevelType w:val="singleLevel"/>
    <w:tmpl w:val="6B81BFFD"/>
    <w:lvl w:ilvl="0" w:tentative="0">
      <w:start w:val="4"/>
      <w:numFmt w:val="chineseCounting"/>
      <w:suff w:val="nothing"/>
      <w:lvlText w:val="%1、"/>
      <w:lvlJc w:val="left"/>
      <w:rPr>
        <w:rFonts w:hint="eastAsia"/>
      </w:rPr>
    </w:lvl>
  </w:abstractNum>
  <w:abstractNum w:abstractNumId="58">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0">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3">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4">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7">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2"/>
  </w:num>
  <w:num w:numId="2">
    <w:abstractNumId w:val="57"/>
  </w:num>
  <w:num w:numId="3">
    <w:abstractNumId w:val="31"/>
  </w:num>
  <w:num w:numId="4">
    <w:abstractNumId w:val="45"/>
  </w:num>
  <w:num w:numId="5">
    <w:abstractNumId w:val="3"/>
  </w:num>
  <w:num w:numId="6">
    <w:abstractNumId w:val="39"/>
  </w:num>
  <w:num w:numId="7">
    <w:abstractNumId w:val="16"/>
  </w:num>
  <w:num w:numId="8">
    <w:abstractNumId w:val="7"/>
  </w:num>
  <w:num w:numId="9">
    <w:abstractNumId w:val="54"/>
  </w:num>
  <w:num w:numId="10">
    <w:abstractNumId w:val="33"/>
  </w:num>
  <w:num w:numId="11">
    <w:abstractNumId w:val="48"/>
  </w:num>
  <w:num w:numId="12">
    <w:abstractNumId w:val="30"/>
  </w:num>
  <w:num w:numId="13">
    <w:abstractNumId w:val="6"/>
  </w:num>
  <w:num w:numId="14">
    <w:abstractNumId w:val="23"/>
  </w:num>
  <w:num w:numId="15">
    <w:abstractNumId w:val="24"/>
  </w:num>
  <w:num w:numId="16">
    <w:abstractNumId w:val="10"/>
  </w:num>
  <w:num w:numId="17">
    <w:abstractNumId w:val="9"/>
  </w:num>
  <w:num w:numId="18">
    <w:abstractNumId w:val="64"/>
  </w:num>
  <w:num w:numId="19">
    <w:abstractNumId w:val="11"/>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67"/>
  </w:num>
  <w:num w:numId="25">
    <w:abstractNumId w:val="46"/>
  </w:num>
  <w:num w:numId="26">
    <w:abstractNumId w:val="60"/>
  </w:num>
  <w:num w:numId="27">
    <w:abstractNumId w:val="65"/>
  </w:num>
  <w:num w:numId="28">
    <w:abstractNumId w:val="44"/>
  </w:num>
  <w:num w:numId="29">
    <w:abstractNumId w:val="8"/>
  </w:num>
  <w:num w:numId="30">
    <w:abstractNumId w:val="20"/>
  </w:num>
  <w:num w:numId="31">
    <w:abstractNumId w:val="61"/>
  </w:num>
  <w:num w:numId="32">
    <w:abstractNumId w:val="55"/>
  </w:num>
  <w:num w:numId="33">
    <w:abstractNumId w:val="37"/>
  </w:num>
  <w:num w:numId="34">
    <w:abstractNumId w:val="52"/>
  </w:num>
  <w:num w:numId="35">
    <w:abstractNumId w:val="25"/>
  </w:num>
  <w:num w:numId="36">
    <w:abstractNumId w:val="56"/>
  </w:num>
  <w:num w:numId="37">
    <w:abstractNumId w:val="2"/>
  </w:num>
  <w:num w:numId="38">
    <w:abstractNumId w:val="53"/>
  </w:num>
  <w:num w:numId="39">
    <w:abstractNumId w:val="0"/>
  </w:num>
  <w:num w:numId="40">
    <w:abstractNumId w:val="5"/>
  </w:num>
  <w:num w:numId="41">
    <w:abstractNumId w:val="47"/>
  </w:num>
  <w:num w:numId="42">
    <w:abstractNumId w:val="27"/>
  </w:num>
  <w:num w:numId="43">
    <w:abstractNumId w:val="43"/>
  </w:num>
  <w:num w:numId="44">
    <w:abstractNumId w:val="32"/>
  </w:num>
  <w:num w:numId="45">
    <w:abstractNumId w:val="40"/>
  </w:num>
  <w:num w:numId="46">
    <w:abstractNumId w:val="34"/>
  </w:num>
  <w:num w:numId="47">
    <w:abstractNumId w:val="18"/>
  </w:num>
  <w:num w:numId="48">
    <w:abstractNumId w:val="50"/>
  </w:num>
  <w:num w:numId="49">
    <w:abstractNumId w:val="68"/>
  </w:num>
  <w:num w:numId="50">
    <w:abstractNumId w:val="19"/>
  </w:num>
  <w:num w:numId="51">
    <w:abstractNumId w:val="17"/>
  </w:num>
  <w:num w:numId="52">
    <w:abstractNumId w:val="1"/>
  </w:num>
  <w:num w:numId="53">
    <w:abstractNumId w:val="49"/>
    <w:lvlOverride w:ilvl="0">
      <w:startOverride w:val="1"/>
    </w:lvlOverride>
  </w:num>
  <w:num w:numId="54">
    <w:abstractNumId w:val="14"/>
  </w:num>
  <w:num w:numId="55">
    <w:abstractNumId w:val="26"/>
  </w:num>
  <w:num w:numId="56">
    <w:abstractNumId w:val="66"/>
  </w:num>
  <w:num w:numId="57">
    <w:abstractNumId w:val="59"/>
  </w:num>
  <w:num w:numId="58">
    <w:abstractNumId w:val="41"/>
  </w:num>
  <w:num w:numId="59">
    <w:abstractNumId w:val="13"/>
  </w:num>
  <w:num w:numId="60">
    <w:abstractNumId w:val="22"/>
  </w:num>
  <w:num w:numId="61">
    <w:abstractNumId w:val="62"/>
  </w:num>
  <w:num w:numId="62">
    <w:abstractNumId w:val="36"/>
  </w:num>
  <w:num w:numId="63">
    <w:abstractNumId w:val="63"/>
  </w:num>
  <w:num w:numId="64">
    <w:abstractNumId w:val="12"/>
  </w:num>
  <w:num w:numId="65">
    <w:abstractNumId w:val="58"/>
  </w:num>
  <w:num w:numId="66">
    <w:abstractNumId w:val="21"/>
  </w:num>
  <w:num w:numId="67">
    <w:abstractNumId w:val="4"/>
  </w:num>
  <w:num w:numId="68">
    <w:abstractNumId w:val="15"/>
  </w:num>
  <w:num w:numId="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5321762"/>
    <w:rsid w:val="0A6722A5"/>
    <w:rsid w:val="0D6F5C11"/>
    <w:rsid w:val="0EF80799"/>
    <w:rsid w:val="0F094BCA"/>
    <w:rsid w:val="0F1858A5"/>
    <w:rsid w:val="10E27459"/>
    <w:rsid w:val="10E55AF8"/>
    <w:rsid w:val="11923040"/>
    <w:rsid w:val="11957B06"/>
    <w:rsid w:val="14A94CF4"/>
    <w:rsid w:val="159A33B0"/>
    <w:rsid w:val="167F0D15"/>
    <w:rsid w:val="196041C6"/>
    <w:rsid w:val="21301669"/>
    <w:rsid w:val="22AD30BD"/>
    <w:rsid w:val="22E72707"/>
    <w:rsid w:val="236061AB"/>
    <w:rsid w:val="23C273EB"/>
    <w:rsid w:val="24EB3DA2"/>
    <w:rsid w:val="26C2454E"/>
    <w:rsid w:val="26F855C1"/>
    <w:rsid w:val="288276C8"/>
    <w:rsid w:val="28EC18A1"/>
    <w:rsid w:val="295E2013"/>
    <w:rsid w:val="2965017D"/>
    <w:rsid w:val="2A824E14"/>
    <w:rsid w:val="2C312DD5"/>
    <w:rsid w:val="304A6516"/>
    <w:rsid w:val="31614F93"/>
    <w:rsid w:val="31E15663"/>
    <w:rsid w:val="31FC5DB5"/>
    <w:rsid w:val="350B2553"/>
    <w:rsid w:val="35697647"/>
    <w:rsid w:val="365A1F4A"/>
    <w:rsid w:val="3D955D30"/>
    <w:rsid w:val="400B4708"/>
    <w:rsid w:val="404F533F"/>
    <w:rsid w:val="40A54B4F"/>
    <w:rsid w:val="41C32F69"/>
    <w:rsid w:val="4213428A"/>
    <w:rsid w:val="44950120"/>
    <w:rsid w:val="45805AFC"/>
    <w:rsid w:val="493A18C5"/>
    <w:rsid w:val="4C2D33F0"/>
    <w:rsid w:val="4CEB4BB9"/>
    <w:rsid w:val="4F10670E"/>
    <w:rsid w:val="517A21E4"/>
    <w:rsid w:val="51C24008"/>
    <w:rsid w:val="527F3B83"/>
    <w:rsid w:val="58D37AD5"/>
    <w:rsid w:val="5F01496B"/>
    <w:rsid w:val="615B2B13"/>
    <w:rsid w:val="61FC1355"/>
    <w:rsid w:val="625D4F5F"/>
    <w:rsid w:val="628C48D0"/>
    <w:rsid w:val="63BF1EF6"/>
    <w:rsid w:val="668C644E"/>
    <w:rsid w:val="68713C99"/>
    <w:rsid w:val="69222A26"/>
    <w:rsid w:val="6D001766"/>
    <w:rsid w:val="6D1E19C3"/>
    <w:rsid w:val="6DEA08AB"/>
    <w:rsid w:val="794842A6"/>
    <w:rsid w:val="7BC0350F"/>
    <w:rsid w:val="7C202697"/>
    <w:rsid w:val="7D883202"/>
    <w:rsid w:val="7E4C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37"/>
    <w:qFormat/>
    <w:uiPriority w:val="0"/>
    <w:pPr>
      <w:ind w:firstLine="420"/>
    </w:pPr>
  </w:style>
  <w:style w:type="paragraph" w:styleId="7">
    <w:name w:val="annotation text"/>
    <w:basedOn w:val="1"/>
    <w:link w:val="31"/>
    <w:unhideWhenUsed/>
    <w:qFormat/>
    <w:uiPriority w:val="99"/>
    <w:pPr>
      <w:jc w:val="left"/>
    </w:p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4"/>
    <w:qFormat/>
    <w:uiPriority w:val="0"/>
    <w:rPr>
      <w:rFonts w:ascii="宋体" w:hAnsi="Courier New" w:cs="Courier New"/>
      <w:szCs w:val="21"/>
    </w:rPr>
  </w:style>
  <w:style w:type="paragraph" w:styleId="10">
    <w:name w:val="endnote text"/>
    <w:basedOn w:val="1"/>
    <w:link w:val="33"/>
    <w:unhideWhenUsed/>
    <w:qFormat/>
    <w:uiPriority w:val="99"/>
    <w:pPr>
      <w:snapToGrid w:val="0"/>
      <w:jc w:val="left"/>
    </w:pPr>
  </w:style>
  <w:style w:type="paragraph" w:styleId="11">
    <w:name w:val="Balloon Text"/>
    <w:basedOn w:val="1"/>
    <w:link w:val="27"/>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5"/>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5">
    <w:name w:val="引用1"/>
    <w:basedOn w:val="1"/>
    <w:next w:val="1"/>
    <w:link w:val="36"/>
    <w:qFormat/>
    <w:uiPriority w:val="29"/>
    <w:rPr>
      <w:i/>
      <w:iCs/>
      <w:color w:val="000000" w:themeColor="text1"/>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7"/>
    <w:next w:val="7"/>
    <w:link w:val="38"/>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endnote reference"/>
    <w:basedOn w:val="20"/>
    <w:unhideWhenUsed/>
    <w:qFormat/>
    <w:uiPriority w:val="99"/>
    <w:rPr>
      <w:vertAlign w:val="superscript"/>
    </w:rPr>
  </w:style>
  <w:style w:type="character" w:styleId="23">
    <w:name w:val="Hyperlink"/>
    <w:basedOn w:val="20"/>
    <w:unhideWhenUsed/>
    <w:qFormat/>
    <w:uiPriority w:val="99"/>
    <w:rPr>
      <w:color w:val="0000FF" w:themeColor="hyperlink"/>
      <w:u w:val="single"/>
    </w:rPr>
  </w:style>
  <w:style w:type="character" w:styleId="24">
    <w:name w:val="annotation reference"/>
    <w:qFormat/>
    <w:uiPriority w:val="99"/>
    <w:rPr>
      <w:sz w:val="21"/>
    </w:rPr>
  </w:style>
  <w:style w:type="character" w:customStyle="1" w:styleId="25">
    <w:name w:val="页眉 Char"/>
    <w:basedOn w:val="20"/>
    <w:link w:val="13"/>
    <w:qFormat/>
    <w:uiPriority w:val="99"/>
    <w:rPr>
      <w:sz w:val="18"/>
      <w:szCs w:val="18"/>
    </w:rPr>
  </w:style>
  <w:style w:type="character" w:customStyle="1" w:styleId="26">
    <w:name w:val="页脚 Char"/>
    <w:basedOn w:val="20"/>
    <w:link w:val="12"/>
    <w:qFormat/>
    <w:uiPriority w:val="99"/>
    <w:rPr>
      <w:sz w:val="18"/>
      <w:szCs w:val="18"/>
    </w:rPr>
  </w:style>
  <w:style w:type="character" w:customStyle="1" w:styleId="27">
    <w:name w:val="批注框文本 Char"/>
    <w:basedOn w:val="20"/>
    <w:link w:val="11"/>
    <w:semiHidden/>
    <w:qFormat/>
    <w:uiPriority w:val="99"/>
    <w:rPr>
      <w:sz w:val="18"/>
      <w:szCs w:val="18"/>
    </w:rPr>
  </w:style>
  <w:style w:type="paragraph" w:customStyle="1" w:styleId="28">
    <w:name w:val="列出段落1"/>
    <w:basedOn w:val="1"/>
    <w:qFormat/>
    <w:uiPriority w:val="34"/>
    <w:pPr>
      <w:ind w:firstLine="420" w:firstLineChars="200"/>
    </w:pPr>
  </w:style>
  <w:style w:type="character" w:customStyle="1" w:styleId="29">
    <w:name w:val="标题 1 Char"/>
    <w:basedOn w:val="20"/>
    <w:link w:val="3"/>
    <w:qFormat/>
    <w:uiPriority w:val="9"/>
    <w:rPr>
      <w:b/>
      <w:bCs/>
      <w:kern w:val="44"/>
      <w:sz w:val="44"/>
      <w:szCs w:val="44"/>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文字 Char"/>
    <w:basedOn w:val="20"/>
    <w:link w:val="7"/>
    <w:qFormat/>
    <w:uiPriority w:val="99"/>
  </w:style>
  <w:style w:type="character" w:customStyle="1" w:styleId="32">
    <w:name w:val="标题 2 Char"/>
    <w:basedOn w:val="20"/>
    <w:link w:val="4"/>
    <w:qFormat/>
    <w:uiPriority w:val="9"/>
    <w:rPr>
      <w:rFonts w:asciiTheme="majorHAnsi" w:hAnsiTheme="majorHAnsi" w:eastAsiaTheme="majorEastAsia" w:cstheme="majorBidi"/>
      <w:b/>
      <w:bCs/>
      <w:sz w:val="32"/>
      <w:szCs w:val="32"/>
    </w:rPr>
  </w:style>
  <w:style w:type="character" w:customStyle="1" w:styleId="33">
    <w:name w:val="尾注文本 Char"/>
    <w:basedOn w:val="20"/>
    <w:link w:val="10"/>
    <w:semiHidden/>
    <w:qFormat/>
    <w:uiPriority w:val="99"/>
  </w:style>
  <w:style w:type="character" w:customStyle="1" w:styleId="34">
    <w:name w:val="纯文本 Char"/>
    <w:link w:val="9"/>
    <w:qFormat/>
    <w:uiPriority w:val="0"/>
    <w:rPr>
      <w:rFonts w:ascii="宋体" w:hAnsi="Courier New" w:cs="Courier New"/>
      <w:szCs w:val="21"/>
    </w:rPr>
  </w:style>
  <w:style w:type="character" w:customStyle="1" w:styleId="35">
    <w:name w:val="纯文本 Char1"/>
    <w:basedOn w:val="20"/>
    <w:semiHidden/>
    <w:qFormat/>
    <w:uiPriority w:val="99"/>
    <w:rPr>
      <w:rFonts w:ascii="宋体" w:hAnsi="Courier New" w:eastAsia="宋体" w:cs="Courier New"/>
      <w:szCs w:val="21"/>
    </w:rPr>
  </w:style>
  <w:style w:type="character" w:customStyle="1" w:styleId="36">
    <w:name w:val="引用 Char"/>
    <w:basedOn w:val="20"/>
    <w:link w:val="15"/>
    <w:qFormat/>
    <w:uiPriority w:val="29"/>
    <w:rPr>
      <w:i/>
      <w:iCs/>
      <w:color w:val="000000" w:themeColor="text1"/>
    </w:rPr>
  </w:style>
  <w:style w:type="character" w:customStyle="1" w:styleId="37">
    <w:name w:val="正文缩进 Char"/>
    <w:link w:val="6"/>
    <w:qFormat/>
    <w:uiPriority w:val="0"/>
  </w:style>
  <w:style w:type="character" w:customStyle="1" w:styleId="38">
    <w:name w:val="批注主题 Char"/>
    <w:basedOn w:val="31"/>
    <w:link w:val="17"/>
    <w:semiHidden/>
    <w:qFormat/>
    <w:uiPriority w:val="99"/>
    <w:rPr>
      <w:b/>
      <w:bCs/>
    </w:rPr>
  </w:style>
  <w:style w:type="paragraph" w:styleId="39">
    <w:name w:val="List Paragraph"/>
    <w:basedOn w:val="1"/>
    <w:unhideWhenUsed/>
    <w:qFormat/>
    <w:uiPriority w:val="99"/>
    <w:pPr>
      <w:ind w:firstLine="420" w:firstLineChars="200"/>
    </w:pPr>
  </w:style>
  <w:style w:type="paragraph" w:customStyle="1" w:styleId="40">
    <w:name w:val="列出段落3"/>
    <w:basedOn w:val="1"/>
    <w:qFormat/>
    <w:uiPriority w:val="0"/>
    <w:pPr>
      <w:ind w:firstLine="420" w:firstLineChars="200"/>
    </w:pPr>
  </w:style>
  <w:style w:type="paragraph" w:customStyle="1" w:styleId="4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E78A5-AC87-4CD3-97F1-243E86497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6694</Words>
  <Characters>38162</Characters>
  <Lines>318</Lines>
  <Paragraphs>89</Paragraphs>
  <TotalTime>13</TotalTime>
  <ScaleCrop>false</ScaleCrop>
  <LinksUpToDate>false</LinksUpToDate>
  <CharactersWithSpaces>44767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2020-08-20T07:53:00Z</cp:lastPrinted>
  <dcterms:modified xsi:type="dcterms:W3CDTF">2020-09-04T08:35:14Z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