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eastAsia="方正小标宋简体"/>
          <w:color w:val="000000" w:themeColor="text1"/>
          <w:sz w:val="40"/>
          <w:szCs w:val="44"/>
          <w:lang w:eastAsia="zh-CN"/>
          <w14:textFill>
            <w14:solidFill>
              <w14:schemeClr w14:val="tx1"/>
            </w14:solidFill>
          </w14:textFill>
        </w:rPr>
      </w:pPr>
      <w:r>
        <w:rPr>
          <w:rFonts w:hint="eastAsia"/>
          <w:color w:val="000000" w:themeColor="text1"/>
          <w:sz w:val="40"/>
          <w:szCs w:val="44"/>
          <w:lang w:eastAsia="zh-CN"/>
          <w14:textFill>
            <w14:solidFill>
              <w14:schemeClr w14:val="tx1"/>
            </w14:solidFill>
          </w14:textFill>
        </w:rPr>
        <w:t>2019年度黄石市阳新县枫林镇南城村土地开发项目</w:t>
      </w:r>
    </w:p>
    <w:p>
      <w:pPr>
        <w:pStyle w:val="13"/>
        <w:rPr>
          <w:color w:val="000000" w:themeColor="text1"/>
          <w:sz w:val="40"/>
          <w:szCs w:val="44"/>
          <w14:textFill>
            <w14:solidFill>
              <w14:schemeClr w14:val="tx1"/>
            </w14:solidFill>
          </w14:textFill>
        </w:rPr>
      </w:pPr>
      <w:r>
        <w:rPr>
          <w:rFonts w:hint="eastAsia"/>
          <w:color w:val="000000" w:themeColor="text1"/>
          <w:sz w:val="40"/>
          <w:szCs w:val="44"/>
          <w14:textFill>
            <w14:solidFill>
              <w14:schemeClr w14:val="tx1"/>
            </w14:solidFill>
          </w14:textFill>
        </w:rPr>
        <w:t>采购需求</w:t>
      </w:r>
    </w:p>
    <w:p>
      <w:pPr>
        <w:shd w:val="clear" w:color="auto" w:fill="FFFFFF"/>
        <w:spacing w:after="321" w:afterLines="100"/>
        <w:ind w:left="1134" w:leftChars="540"/>
        <w:rPr>
          <w:rFonts w:ascii="黑体" w:eastAsia="黑体"/>
          <w:color w:val="000000" w:themeColor="text1"/>
          <w:szCs w:val="32"/>
          <w14:textFill>
            <w14:solidFill>
              <w14:schemeClr w14:val="tx1"/>
            </w14:solidFill>
          </w14:textFill>
        </w:rPr>
      </w:pPr>
    </w:p>
    <w:p>
      <w:pPr>
        <w:shd w:val="clear" w:color="auto" w:fill="FFFFFF"/>
        <w:spacing w:after="321" w:afterLines="100"/>
        <w:ind w:left="1134" w:leftChars="540"/>
        <w:rPr>
          <w:rFonts w:ascii="黑体" w:eastAsia="黑体"/>
          <w:color w:val="000000" w:themeColor="text1"/>
          <w:sz w:val="44"/>
          <w:szCs w:val="44"/>
          <w14:textFill>
            <w14:solidFill>
              <w14:schemeClr w14:val="tx1"/>
            </w14:solidFill>
          </w14:textFill>
        </w:rPr>
      </w:pPr>
    </w:p>
    <w:p>
      <w:pPr>
        <w:shd w:val="clear" w:color="auto" w:fill="FFFFFF"/>
        <w:spacing w:line="560" w:lineRule="exact"/>
        <w:ind w:left="1134" w:leftChars="540"/>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招 标 人：</w:t>
      </w:r>
      <w:r>
        <w:rPr>
          <w:rFonts w:hint="eastAsia" w:ascii="黑体" w:eastAsia="黑体"/>
          <w:color w:val="000000" w:themeColor="text1"/>
          <w:sz w:val="28"/>
          <w:szCs w:val="28"/>
          <w:lang w:eastAsia="zh-CN"/>
          <w14:textFill>
            <w14:solidFill>
              <w14:schemeClr w14:val="tx1"/>
            </w14:solidFill>
          </w14:textFill>
        </w:rPr>
        <w:t>阳新县枫林镇人民政府</w:t>
      </w:r>
    </w:p>
    <w:p>
      <w:pPr>
        <w:shd w:val="clear" w:color="auto" w:fill="FFFFFF"/>
        <w:spacing w:line="560" w:lineRule="exact"/>
        <w:ind w:left="1134" w:leftChars="540"/>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联 系 人：</w:t>
      </w:r>
      <w:r>
        <w:rPr>
          <w:rFonts w:hint="eastAsia" w:ascii="黑体" w:eastAsia="黑体"/>
          <w:color w:val="000000" w:themeColor="text1"/>
          <w:sz w:val="28"/>
          <w:szCs w:val="28"/>
          <w:lang w:eastAsia="zh-CN"/>
          <w14:textFill>
            <w14:solidFill>
              <w14:schemeClr w14:val="tx1"/>
            </w14:solidFill>
          </w14:textFill>
        </w:rPr>
        <w:t>柯贤财</w:t>
      </w:r>
    </w:p>
    <w:p>
      <w:pPr>
        <w:shd w:val="clear" w:color="auto" w:fill="FFFFFF"/>
        <w:spacing w:line="560" w:lineRule="exact"/>
        <w:ind w:left="1134" w:leftChars="540"/>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联系电话：</w:t>
      </w:r>
      <w:r>
        <w:rPr>
          <w:rFonts w:hint="eastAsia" w:ascii="黑体" w:eastAsia="黑体"/>
          <w:color w:val="000000" w:themeColor="text1"/>
          <w:sz w:val="28"/>
          <w:szCs w:val="28"/>
          <w:lang w:eastAsia="zh-CN"/>
          <w14:textFill>
            <w14:solidFill>
              <w14:schemeClr w14:val="tx1"/>
            </w14:solidFill>
          </w14:textFill>
        </w:rPr>
        <w:t>13597689208</w:t>
      </w:r>
    </w:p>
    <w:p>
      <w:pPr>
        <w:shd w:val="clear" w:color="auto" w:fill="FFFFFF"/>
        <w:spacing w:line="560" w:lineRule="exact"/>
        <w:ind w:firstLine="1120" w:firstLineChars="4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采购</w:t>
      </w:r>
      <w:r>
        <w:rPr>
          <w:rFonts w:ascii="黑体" w:eastAsia="黑体"/>
          <w:color w:val="000000" w:themeColor="text1"/>
          <w:sz w:val="28"/>
          <w:szCs w:val="28"/>
          <w14:textFill>
            <w14:solidFill>
              <w14:schemeClr w14:val="tx1"/>
            </w14:solidFill>
          </w14:textFill>
        </w:rPr>
        <w:t>方式：</w:t>
      </w:r>
      <w:r>
        <w:rPr>
          <w:rFonts w:hint="eastAsia" w:ascii="黑体" w:eastAsia="黑体"/>
          <w:color w:val="000000" w:themeColor="text1"/>
          <w:sz w:val="28"/>
          <w:szCs w:val="28"/>
          <w14:textFill>
            <w14:solidFill>
              <w14:schemeClr w14:val="tx1"/>
            </w14:solidFill>
          </w14:textFill>
        </w:rPr>
        <w:t>竞争性磋商</w:t>
      </w:r>
    </w:p>
    <w:p>
      <w:pPr>
        <w:keepNext/>
        <w:keepLines/>
        <w:adjustRightInd w:val="0"/>
        <w:snapToGrid w:val="0"/>
        <w:jc w:val="center"/>
        <w:outlineLvl w:val="1"/>
        <w:rPr>
          <w:rFonts w:ascii="宋体" w:hAnsi="宋体"/>
          <w:b/>
          <w:bCs/>
          <w:color w:val="0D0D0D"/>
          <w:sz w:val="32"/>
          <w:szCs w:val="32"/>
        </w:rPr>
        <w:sectPr>
          <w:footerReference r:id="rId3" w:type="default"/>
          <w:pgSz w:w="11906" w:h="16838"/>
          <w:pgMar w:top="1134" w:right="1134" w:bottom="1134" w:left="1134" w:header="851" w:footer="992" w:gutter="0"/>
          <w:cols w:space="0" w:num="1"/>
          <w:docGrid w:type="lines" w:linePitch="321" w:charSpace="0"/>
        </w:sectPr>
      </w:pPr>
    </w:p>
    <w:p>
      <w:pPr>
        <w:adjustRightInd w:val="0"/>
        <w:snapToGrid w:val="0"/>
        <w:spacing w:line="360" w:lineRule="auto"/>
        <w:jc w:val="left"/>
        <w:rPr>
          <w:sz w:val="24"/>
          <w:szCs w:val="24"/>
        </w:rPr>
      </w:pPr>
      <w:r>
        <w:rPr>
          <w:rFonts w:hint="eastAsia"/>
          <w:sz w:val="24"/>
          <w:szCs w:val="24"/>
        </w:rPr>
        <w:t>附件一：采购需求</w:t>
      </w:r>
    </w:p>
    <w:p>
      <w:pPr>
        <w:rPr>
          <w:rFonts w:ascii="宋体" w:hAnsi="宋体"/>
          <w:sz w:val="24"/>
        </w:rPr>
      </w:pPr>
    </w:p>
    <w:p>
      <w:pPr>
        <w:pStyle w:val="5"/>
        <w:jc w:val="center"/>
      </w:pPr>
      <w:bookmarkStart w:id="0" w:name="_Toc480553174"/>
      <w:r>
        <w:rPr>
          <w:rFonts w:hint="eastAsia"/>
        </w:rPr>
        <w:t>一、采购项目技术规格、参数及要求</w:t>
      </w:r>
      <w:bookmarkEnd w:id="0"/>
    </w:p>
    <w:p>
      <w:pPr>
        <w:spacing w:line="360" w:lineRule="auto"/>
        <w:rPr>
          <w:rFonts w:hint="eastAsia" w:ascii="宋体" w:hAnsi="宋体" w:eastAsia="宋体"/>
          <w:bCs/>
          <w:kern w:val="44"/>
          <w:sz w:val="24"/>
          <w:lang w:eastAsia="zh-CN"/>
        </w:rPr>
      </w:pPr>
      <w:r>
        <w:rPr>
          <w:rFonts w:hint="eastAsia" w:ascii="宋体" w:hAnsi="宋体"/>
          <w:bCs/>
          <w:kern w:val="44"/>
          <w:sz w:val="24"/>
        </w:rPr>
        <w:t>1、采购内容：</w:t>
      </w:r>
      <w:r>
        <w:rPr>
          <w:rFonts w:hint="eastAsia" w:ascii="宋体" w:hAnsi="宋体"/>
          <w:bCs/>
          <w:kern w:val="44"/>
          <w:sz w:val="24"/>
          <w:lang w:eastAsia="zh-CN"/>
        </w:rPr>
        <w:t>2019年度黄石市阳新县枫林镇南城村土地开发项目</w:t>
      </w:r>
    </w:p>
    <w:p>
      <w:pPr>
        <w:spacing w:line="360" w:lineRule="auto"/>
        <w:rPr>
          <w:rFonts w:ascii="宋体" w:hAnsi="宋体"/>
          <w:bCs/>
          <w:kern w:val="44"/>
          <w:sz w:val="24"/>
        </w:rPr>
      </w:pPr>
      <w:r>
        <w:rPr>
          <w:rFonts w:hint="eastAsia" w:ascii="宋体" w:hAnsi="宋体"/>
          <w:bCs/>
          <w:kern w:val="44"/>
          <w:sz w:val="24"/>
        </w:rPr>
        <w:t>2、工期：</w:t>
      </w:r>
      <w:r>
        <w:rPr>
          <w:rFonts w:hint="eastAsia" w:ascii="宋体" w:hAnsi="宋体"/>
          <w:bCs/>
          <w:kern w:val="44"/>
          <w:sz w:val="24"/>
          <w:u w:val="single"/>
          <w:lang w:val="en-US" w:eastAsia="zh-CN"/>
        </w:rPr>
        <w:t>60</w:t>
      </w:r>
      <w:r>
        <w:rPr>
          <w:rFonts w:hint="eastAsia" w:ascii="宋体" w:hAnsi="宋体"/>
          <w:bCs/>
          <w:kern w:val="44"/>
          <w:sz w:val="24"/>
        </w:rPr>
        <w:t>日历天。开工时间以建设单位开工令为准。</w:t>
      </w:r>
    </w:p>
    <w:p>
      <w:pPr>
        <w:spacing w:line="360" w:lineRule="auto"/>
        <w:rPr>
          <w:rFonts w:hint="default" w:ascii="宋体" w:hAnsi="宋体"/>
          <w:bCs/>
          <w:kern w:val="44"/>
          <w:sz w:val="24"/>
          <w:lang w:val="en-US"/>
        </w:rPr>
      </w:pPr>
      <w:r>
        <w:rPr>
          <w:rFonts w:hint="eastAsia" w:ascii="宋体" w:hAnsi="宋体"/>
          <w:bCs/>
          <w:kern w:val="44"/>
          <w:sz w:val="24"/>
        </w:rPr>
        <w:t>3、施工地点：</w:t>
      </w:r>
      <w:r>
        <w:rPr>
          <w:rFonts w:hint="eastAsia" w:ascii="宋体" w:hAnsi="宋体"/>
          <w:bCs/>
          <w:kern w:val="44"/>
          <w:sz w:val="24"/>
          <w:lang w:eastAsia="zh-CN"/>
        </w:rPr>
        <w:t>阳新县枫林镇南城村</w:t>
      </w:r>
    </w:p>
    <w:p>
      <w:pPr>
        <w:spacing w:line="360" w:lineRule="auto"/>
        <w:rPr>
          <w:rStyle w:val="21"/>
          <w:rFonts w:ascii="宋体" w:hAnsi="宋体"/>
          <w:sz w:val="24"/>
          <w:szCs w:val="24"/>
        </w:rPr>
      </w:pPr>
      <w:r>
        <w:rPr>
          <w:rFonts w:hint="eastAsia" w:ascii="宋体" w:hAnsi="宋体"/>
          <w:bCs/>
          <w:kern w:val="44"/>
          <w:sz w:val="24"/>
        </w:rPr>
        <w:t>4、工程量清单</w:t>
      </w:r>
      <w:bookmarkStart w:id="8" w:name="_GoBack"/>
      <w:bookmarkEnd w:id="8"/>
      <w:r>
        <w:rPr>
          <w:rFonts w:hint="eastAsia" w:ascii="宋体" w:hAnsi="宋体"/>
          <w:bCs/>
          <w:kern w:val="44"/>
          <w:sz w:val="24"/>
        </w:rPr>
        <w:t>见附件。</w:t>
      </w:r>
    </w:p>
    <w:p>
      <w:pPr>
        <w:spacing w:line="360" w:lineRule="auto"/>
        <w:rPr>
          <w:rFonts w:hint="eastAsia" w:ascii="宋体" w:hAnsi="宋体"/>
          <w:bCs/>
          <w:kern w:val="44"/>
          <w:sz w:val="24"/>
        </w:rPr>
      </w:pPr>
      <w:r>
        <w:rPr>
          <w:rFonts w:hint="eastAsia" w:ascii="宋体" w:hAnsi="宋体"/>
          <w:bCs/>
          <w:kern w:val="44"/>
          <w:sz w:val="24"/>
        </w:rPr>
        <w:t>5、该项目付款方式为：工程竣工验收后支付至合同价款的50%，经结算审计确认后付至审计值的95%,余款5%为质保金,质保期（1年）满后无质量问题付清。</w:t>
      </w:r>
    </w:p>
    <w:p>
      <w:pPr>
        <w:pStyle w:val="2"/>
        <w:ind w:left="0" w:leftChars="0" w:firstLine="0" w:firstLineChars="0"/>
        <w:rPr>
          <w:rFonts w:hint="eastAsia" w:eastAsia="宋体"/>
          <w:lang w:val="en-US" w:eastAsia="zh-CN"/>
        </w:rPr>
      </w:pPr>
      <w:r>
        <w:rPr>
          <w:rFonts w:hint="eastAsia"/>
          <w:bCs/>
          <w:kern w:val="44"/>
          <w:sz w:val="24"/>
          <w:lang w:val="en-US" w:eastAsia="zh-CN"/>
        </w:rPr>
        <w:t>6</w:t>
      </w:r>
      <w:r>
        <w:rPr>
          <w:rFonts w:hint="eastAsia" w:ascii="宋体" w:hAnsi="宋体"/>
          <w:bCs/>
          <w:kern w:val="44"/>
          <w:sz w:val="24"/>
        </w:rPr>
        <w:t>、质量保修期：本项目保修期为1年，质量保修期自工程竣工验收合格之日起计算。</w:t>
      </w:r>
    </w:p>
    <w:p>
      <w:pPr>
        <w:widowControl/>
        <w:jc w:val="left"/>
        <w:rPr>
          <w:sz w:val="24"/>
          <w:szCs w:val="24"/>
        </w:rPr>
      </w:pPr>
    </w:p>
    <w:p>
      <w:pPr>
        <w:widowControl/>
        <w:ind w:firstLine="480" w:firstLineChars="200"/>
        <w:jc w:val="left"/>
        <w:rPr>
          <w:sz w:val="24"/>
          <w:szCs w:val="24"/>
        </w:rPr>
      </w:pPr>
      <w:r>
        <w:rPr>
          <w:rFonts w:hint="eastAsia"/>
          <w:sz w:val="24"/>
          <w:szCs w:val="24"/>
        </w:rPr>
        <w:t>工程量清单</w:t>
      </w:r>
    </w:p>
    <w:p>
      <w:pPr>
        <w:pStyle w:val="2"/>
        <w:rPr>
          <w:rFonts w:hint="eastAsia" w:eastAsia="宋体"/>
          <w:lang w:eastAsia="zh-CN"/>
        </w:rPr>
      </w:pPr>
      <w:r>
        <w:rPr>
          <w:rFonts w:hint="eastAsia" w:eastAsia="宋体"/>
          <w:lang w:eastAsia="zh-CN"/>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r>
        <w:rPr>
          <w:rFonts w:hint="eastAsia" w:eastAsia="宋体"/>
          <w:lang w:eastAsia="zh-CN"/>
        </w:rPr>
        <w:object>
          <v:shape id="_x0000_i1026" o:spt="75" type="#_x0000_t75" style="height:66pt;width:72.75pt;" o:ole="t" filled="f" o:preferrelative="t" stroked="f" coordsize="21600,21600">
            <v:path/>
            <v:fill on="f" focussize="0,0"/>
            <v:stroke on="f"/>
            <v:imagedata r:id="rId8" o:title=""/>
            <o:lock v:ext="edit" aspectratio="t"/>
            <w10:wrap type="none"/>
            <w10:anchorlock/>
          </v:shape>
          <o:OLEObject Type="Embed" ProgID="Excel.Sheet.8" ShapeID="_x0000_i1026" DrawAspect="Icon" ObjectID="_1468075726" r:id="rId7">
            <o:LockedField>false</o:LockedField>
          </o:OLEObject>
        </w:object>
      </w:r>
    </w:p>
    <w:p>
      <w:pPr>
        <w:pStyle w:val="2"/>
        <w:rPr>
          <w:rFonts w:hint="eastAsia"/>
          <w:lang w:eastAsia="zh-CN"/>
        </w:rPr>
      </w:pPr>
    </w:p>
    <w:p>
      <w:r>
        <w:rPr>
          <w:rFonts w:hint="eastAsia"/>
        </w:rPr>
        <w:t xml:space="preserve">     </w:t>
      </w:r>
      <w:r>
        <w:br w:type="page"/>
      </w:r>
    </w:p>
    <w:p>
      <w:pPr>
        <w:adjustRightInd w:val="0"/>
        <w:snapToGrid w:val="0"/>
        <w:spacing w:line="360" w:lineRule="auto"/>
        <w:jc w:val="left"/>
        <w:rPr>
          <w:sz w:val="24"/>
          <w:szCs w:val="24"/>
        </w:rPr>
      </w:pPr>
      <w:r>
        <w:rPr>
          <w:sz w:val="24"/>
          <w:szCs w:val="24"/>
        </w:rPr>
        <w:t>附件</w:t>
      </w:r>
      <w:r>
        <w:rPr>
          <w:rFonts w:hint="eastAsia"/>
          <w:sz w:val="24"/>
          <w:szCs w:val="24"/>
        </w:rPr>
        <w:t>二</w:t>
      </w:r>
      <w:r>
        <w:rPr>
          <w:sz w:val="24"/>
          <w:szCs w:val="24"/>
        </w:rPr>
        <w:t>：供应商报名表：</w:t>
      </w:r>
    </w:p>
    <w:p>
      <w:pPr>
        <w:jc w:val="center"/>
        <w:rPr>
          <w:sz w:val="32"/>
          <w:szCs w:val="32"/>
        </w:rPr>
      </w:pPr>
      <w:r>
        <w:rPr>
          <w:rFonts w:hint="eastAsia"/>
          <w:sz w:val="32"/>
          <w:szCs w:val="32"/>
        </w:rPr>
        <w:t>供应商报名表</w:t>
      </w:r>
    </w:p>
    <w:p>
      <w:pPr>
        <w:rPr>
          <w:sz w:val="24"/>
        </w:rPr>
      </w:pPr>
      <w:r>
        <w:rPr>
          <w:rFonts w:hint="eastAsia"/>
          <w:sz w:val="24"/>
        </w:rPr>
        <w:t>项目编号：</w:t>
      </w:r>
      <w:r>
        <w:rPr>
          <w:rFonts w:hint="eastAsia"/>
          <w:sz w:val="24"/>
          <w:u w:val="single"/>
        </w:rPr>
        <w:t xml:space="preserve">                </w:t>
      </w:r>
    </w:p>
    <w:p>
      <w:pPr>
        <w:rPr>
          <w:sz w:val="24"/>
        </w:rPr>
      </w:pPr>
      <w:r>
        <w:rPr>
          <w:rFonts w:hint="eastAsia"/>
          <w:sz w:val="24"/>
        </w:rPr>
        <w:t xml:space="preserve">项目名称：  </w:t>
      </w:r>
      <w:r>
        <w:rPr>
          <w:rFonts w:hint="eastAsia"/>
          <w:sz w:val="24"/>
          <w:u w:val="single"/>
        </w:rPr>
        <w:t xml:space="preserve">                </w:t>
      </w:r>
      <w:r>
        <w:rPr>
          <w:rFonts w:hint="eastAsia"/>
          <w:sz w:val="24"/>
        </w:rPr>
        <w:t xml:space="preserve">                       </w:t>
      </w:r>
    </w:p>
    <w:tbl>
      <w:tblPr>
        <w:tblStyle w:val="14"/>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供应商名称（盖章）</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联系人姓名</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联系人电话（办公电话和手机）</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联系人邮箱</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kern w:val="0"/>
                <w:sz w:val="24"/>
              </w:rPr>
            </w:pPr>
            <w:r>
              <w:rPr>
                <w:rFonts w:hint="eastAsia" w:cs="宋体" w:asciiTheme="minorEastAsia" w:hAnsiTheme="minorEastAsia"/>
                <w:kern w:val="0"/>
                <w:sz w:val="24"/>
              </w:rPr>
              <w:t>供应商提供的</w:t>
            </w:r>
          </w:p>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报名资料</w:t>
            </w: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2.</w:t>
            </w:r>
            <w:r>
              <w:rPr>
                <w:rFonts w:hint="eastAsia"/>
                <w:color w:val="000000" w:themeColor="text1"/>
                <w:sz w:val="24"/>
                <w14:textFill>
                  <w14:solidFill>
                    <w14:schemeClr w14:val="tx1"/>
                  </w14:solidFill>
                </w14:textFill>
              </w:rPr>
              <w:t>近三年财务状况报告，</w:t>
            </w:r>
            <w:r>
              <w:rPr>
                <w:rFonts w:hint="eastAsia"/>
                <w:color w:val="000000" w:themeColor="text1"/>
                <w:sz w:val="24"/>
                <w:lang w:eastAsia="zh-CN"/>
                <w14:textFill>
                  <w14:solidFill>
                    <w14:schemeClr w14:val="tx1"/>
                  </w14:solidFill>
                </w14:textFill>
              </w:rPr>
              <w:t>近六个月</w:t>
            </w:r>
            <w:r>
              <w:rPr>
                <w:rFonts w:hint="eastAsia"/>
                <w:color w:val="000000" w:themeColor="text1"/>
                <w:sz w:val="24"/>
                <w14:textFill>
                  <w14:solidFill>
                    <w14:schemeClr w14:val="tx1"/>
                  </w14:solidFill>
                </w14:textFill>
              </w:rPr>
              <w:t>依法缴纳税收和</w:t>
            </w:r>
            <w:r>
              <w:rPr>
                <w:rFonts w:hint="eastAsia"/>
                <w:sz w:val="24"/>
              </w:rPr>
              <w:t>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color w:val="000000" w:themeColor="text1"/>
                <w:sz w:val="24"/>
                <w14:textFill>
                  <w14:solidFill>
                    <w14:schemeClr w14:val="tx1"/>
                  </w14:solidFill>
                </w14:textFill>
              </w:rPr>
              <w:t>6.未被列入"信用中国"网站(www.creditchina.gov.cn)"失信被执行人和重大税收违法案件当事人</w:t>
            </w:r>
            <w:r>
              <w:rPr>
                <w:rFonts w:hint="eastAsia"/>
                <w:b/>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"中国政府采购网"（www.ccgp.gov.cn）中政府采购严重违法失信行为记录名单（</w:t>
            </w:r>
            <w:r>
              <w:rPr>
                <w:rFonts w:hint="eastAsia"/>
                <w:color w:val="000000" w:themeColor="text1"/>
                <w:sz w:val="24"/>
                <w:lang w:eastAsia="zh-CN"/>
                <w14:textFill>
                  <w14:solidFill>
                    <w14:schemeClr w14:val="tx1"/>
                  </w14:solidFill>
                </w14:textFill>
              </w:rPr>
              <w:t>以上</w:t>
            </w:r>
            <w:r>
              <w:rPr>
                <w:rFonts w:hint="eastAsia"/>
                <w:color w:val="000000" w:themeColor="text1"/>
                <w:sz w:val="24"/>
                <w14:textFill>
                  <w14:solidFill>
                    <w14:schemeClr w14:val="tx1"/>
                  </w14:solidFill>
                </w14:textFill>
              </w:rPr>
              <w:t>截图</w:t>
            </w:r>
            <w:r>
              <w:rPr>
                <w:rFonts w:hint="eastAsia"/>
                <w:color w:val="000000" w:themeColor="text1"/>
                <w:sz w:val="24"/>
                <w:lang w:eastAsia="zh-CN"/>
                <w14:textFill>
                  <w14:solidFill>
                    <w14:schemeClr w14:val="tx1"/>
                  </w14:solidFill>
                </w14:textFill>
              </w:rPr>
              <w:t>日期</w:t>
            </w:r>
            <w:r>
              <w:rPr>
                <w:rFonts w:hint="eastAsia"/>
                <w:color w:val="000000" w:themeColor="text1"/>
                <w:sz w:val="24"/>
                <w14:textFill>
                  <w14:solidFill>
                    <w14:schemeClr w14:val="tx1"/>
                  </w14:solidFill>
                </w14:textFill>
              </w:rPr>
              <w:t>为征集</w:t>
            </w:r>
            <w:r>
              <w:rPr>
                <w:rFonts w:hint="eastAsia"/>
                <w:color w:val="000000" w:themeColor="text1"/>
                <w:sz w:val="24"/>
                <w:lang w:eastAsia="zh-CN"/>
                <w14:textFill>
                  <w14:solidFill>
                    <w14:schemeClr w14:val="tx1"/>
                  </w14:solidFill>
                </w14:textFill>
              </w:rPr>
              <w:t>公告发布后，</w:t>
            </w:r>
            <w:r>
              <w:rPr>
                <w:rFonts w:hint="eastAsia"/>
                <w:color w:val="000000" w:themeColor="text1"/>
                <w:sz w:val="24"/>
                <w14:textFill>
                  <w14:solidFill>
                    <w14:schemeClr w14:val="tx1"/>
                  </w14:solidFill>
                </w14:textFill>
              </w:rPr>
              <w:t>截止日前的网页打印件。）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sz w:val="24"/>
              </w:rPr>
              <w:t>7.特定条件：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供应商意见</w:t>
            </w:r>
          </w:p>
        </w:tc>
        <w:tc>
          <w:tcPr>
            <w:tcW w:w="6996" w:type="dxa"/>
            <w:tcBorders>
              <w:top w:val="single" w:color="auto" w:sz="4" w:space="0"/>
              <w:left w:val="single" w:color="auto" w:sz="4" w:space="0"/>
              <w:bottom w:val="single" w:color="auto" w:sz="4" w:space="0"/>
              <w:right w:val="single" w:color="auto" w:sz="4" w:space="0"/>
            </w:tcBorders>
          </w:tcPr>
          <w:p>
            <w:pPr>
              <w:rPr>
                <w:b/>
                <w:sz w:val="24"/>
              </w:rPr>
            </w:pPr>
            <w:r>
              <w:rPr>
                <w:rFonts w:hint="eastAsia"/>
                <w:b/>
                <w:sz w:val="24"/>
              </w:rPr>
              <w:t>供应商可对本项目采购需求的公正性、专业性、合理性等提出自己正确的意见、建议等（可另页详细表述）。</w:t>
            </w:r>
          </w:p>
        </w:tc>
      </w:tr>
    </w:tbl>
    <w:p>
      <w:pPr>
        <w:pStyle w:val="12"/>
        <w:shd w:val="clear" w:color="auto" w:fill="FFFFFF"/>
        <w:spacing w:before="150" w:beforeAutospacing="0" w:after="150" w:afterAutospacing="0" w:line="360" w:lineRule="atLeast"/>
        <w:rPr>
          <w:rStyle w:val="17"/>
          <w:color w:val="000000"/>
        </w:rPr>
      </w:pPr>
    </w:p>
    <w:p>
      <w:pPr>
        <w:pStyle w:val="12"/>
        <w:shd w:val="clear" w:color="auto" w:fill="FFFFFF"/>
        <w:spacing w:before="150" w:beforeAutospacing="0" w:after="150" w:afterAutospacing="0" w:line="360" w:lineRule="atLeast"/>
        <w:rPr>
          <w:rStyle w:val="17"/>
          <w:color w:val="000000"/>
        </w:rPr>
      </w:pPr>
      <w:r>
        <w:rPr>
          <w:rStyle w:val="17"/>
          <w:rFonts w:hint="eastAsia"/>
          <w:color w:val="000000"/>
        </w:rPr>
        <w:t>注意事项：</w:t>
      </w:r>
    </w:p>
    <w:p>
      <w:pPr>
        <w:pStyle w:val="12"/>
        <w:shd w:val="clear" w:color="auto" w:fill="FFFFFF"/>
        <w:spacing w:before="150" w:after="150"/>
        <w:ind w:firstLine="480" w:firstLineChars="200"/>
        <w:rPr>
          <w:color w:val="000000"/>
        </w:rPr>
      </w:pPr>
      <w:r>
        <w:rPr>
          <w:rFonts w:hint="eastAsia"/>
          <w:color w:val="000000"/>
        </w:rPr>
        <w:t>1.供应商必须严格按照公告的内容和要求，完整递交有关资料，逾期递交的将予以拒收。</w:t>
      </w:r>
    </w:p>
    <w:p>
      <w:pPr>
        <w:pStyle w:val="12"/>
        <w:shd w:val="clear" w:color="auto" w:fill="FFFFFF"/>
        <w:spacing w:before="100" w:after="100"/>
        <w:ind w:firstLine="480" w:firstLineChars="200"/>
        <w:rPr>
          <w:color w:val="000000"/>
        </w:rPr>
      </w:pPr>
      <w:r>
        <w:rPr>
          <w:rFonts w:hint="eastAsia"/>
          <w:color w:val="000000"/>
        </w:rPr>
        <w:t xml:space="preserve">2.★供应商所递交的资料（全部盖有单位公章）必须为一般常用电脑办公软件能够读取的清晰、易于辨识的彩色电子扫描件、照片且无法移动的印章（相关证书和证明材料的原件）,并对其他递交资料内容的真实性、有效性及完整性负责，如提供文件资料有错漏、模糊不清、复印件的电子扫描件、照片、无法读取识别或弄虚作假等，一律属于无效文件。 </w:t>
      </w:r>
    </w:p>
    <w:p>
      <w:pPr>
        <w:pStyle w:val="12"/>
        <w:shd w:val="clear" w:color="auto" w:fill="FFFFFF"/>
        <w:spacing w:before="150" w:beforeAutospacing="0" w:after="150" w:afterAutospacing="0"/>
        <w:ind w:firstLine="480" w:firstLineChars="200"/>
        <w:rPr>
          <w:color w:val="000000"/>
        </w:rPr>
      </w:pPr>
      <w:r>
        <w:rPr>
          <w:rFonts w:hint="eastAsia"/>
          <w:color w:val="000000"/>
        </w:rPr>
        <w:t>3.★须在邮件</w:t>
      </w:r>
      <w:r>
        <w:rPr>
          <w:rFonts w:hint="eastAsia"/>
          <w:b/>
          <w:bCs/>
          <w:color w:val="000000"/>
        </w:rPr>
        <w:t>（</w:t>
      </w:r>
      <w:r>
        <w:rPr>
          <w:rFonts w:hint="eastAsia"/>
          <w:b/>
          <w:bCs/>
          <w:color w:val="000000"/>
          <w:lang w:eastAsia="zh-CN"/>
        </w:rPr>
        <w:t>征集资料</w:t>
      </w:r>
      <w:r>
        <w:rPr>
          <w:rFonts w:hint="eastAsia"/>
          <w:b/>
          <w:bCs/>
          <w:color w:val="000000"/>
        </w:rPr>
        <w:t>附件文件名只注明公司全称）</w:t>
      </w:r>
      <w:r>
        <w:rPr>
          <w:rFonts w:hint="eastAsia"/>
          <w:color w:val="000000"/>
        </w:rPr>
        <w:t>注明公司全称、项目名称</w:t>
      </w:r>
      <w:r>
        <w:rPr>
          <w:rFonts w:hint="eastAsia"/>
          <w:color w:val="000000"/>
          <w:lang w:eastAsia="zh-CN"/>
        </w:rPr>
        <w:t>、</w:t>
      </w:r>
      <w:r>
        <w:rPr>
          <w:rFonts w:hint="eastAsia"/>
          <w:color w:val="000000"/>
        </w:rPr>
        <w:t>项目编号</w:t>
      </w:r>
      <w:r>
        <w:rPr>
          <w:rFonts w:hint="eastAsia"/>
          <w:color w:val="000000"/>
          <w:lang w:eastAsia="zh-CN"/>
        </w:rPr>
        <w:t>、联系人姓名</w:t>
      </w:r>
      <w:r>
        <w:rPr>
          <w:rFonts w:hint="eastAsia"/>
          <w:color w:val="000000"/>
        </w:rPr>
        <w:t>及</w:t>
      </w:r>
      <w:r>
        <w:rPr>
          <w:rFonts w:hint="eastAsia"/>
          <w:color w:val="000000"/>
          <w:lang w:eastAsia="zh-CN"/>
        </w:rPr>
        <w:t>联系人联系方式</w:t>
      </w:r>
      <w:r>
        <w:rPr>
          <w:rFonts w:hint="eastAsia"/>
          <w:color w:val="000000"/>
        </w:rPr>
        <w:t>（不注明我单位将拒收报名邮件）。</w:t>
      </w:r>
    </w:p>
    <w:p>
      <w:pPr>
        <w:pStyle w:val="12"/>
        <w:shd w:val="clear" w:color="auto" w:fill="FFFFFF"/>
        <w:spacing w:before="150" w:beforeAutospacing="0" w:after="150" w:afterAutospacing="0"/>
        <w:ind w:firstLine="480" w:firstLineChars="200"/>
        <w:rPr>
          <w:color w:val="000000"/>
        </w:rPr>
      </w:pPr>
    </w:p>
    <w:p>
      <w:pPr>
        <w:pStyle w:val="12"/>
        <w:shd w:val="clear" w:color="auto" w:fill="FFFFFF"/>
        <w:spacing w:before="150" w:beforeAutospacing="0" w:after="150" w:afterAutospacing="0"/>
        <w:rPr>
          <w:color w:val="000000"/>
        </w:rPr>
      </w:pPr>
    </w:p>
    <w:p>
      <w:pPr>
        <w:pStyle w:val="3"/>
        <w:spacing w:before="0" w:after="0" w:line="360" w:lineRule="auto"/>
        <w:ind w:firstLine="2168" w:firstLineChars="600"/>
        <w:rPr>
          <w:rFonts w:ascii="仿宋_GB2312" w:hAnsi="新宋体" w:eastAsia="仿宋_GB2312"/>
        </w:rPr>
      </w:pPr>
      <w:r>
        <w:rPr>
          <w:rFonts w:hint="eastAsia" w:ascii="仿宋_GB2312" w:hAnsi="新宋体" w:eastAsia="仿宋_GB2312"/>
          <w:sz w:val="36"/>
          <w:szCs w:val="36"/>
        </w:rPr>
        <w:t>评审方法（综合评分法</w:t>
      </w:r>
      <w:r>
        <w:rPr>
          <w:rFonts w:hint="eastAsia" w:ascii="仿宋_GB2312" w:hAnsi="新宋体" w:eastAsia="仿宋_GB2312"/>
        </w:rPr>
        <w:t>）</w:t>
      </w:r>
      <w:bookmarkStart w:id="1" w:name="_Toc246996242"/>
      <w:bookmarkStart w:id="2" w:name="_Toc247085757"/>
      <w:bookmarkStart w:id="3" w:name="_Toc179632617"/>
      <w:bookmarkStart w:id="4" w:name="_Toc152042376"/>
      <w:bookmarkStart w:id="5" w:name="_Toc246996985"/>
      <w:bookmarkStart w:id="6" w:name="_Toc152045599"/>
      <w:bookmarkStart w:id="7" w:name="_Toc144974566"/>
    </w:p>
    <w:bookmarkEnd w:id="1"/>
    <w:bookmarkEnd w:id="2"/>
    <w:bookmarkEnd w:id="3"/>
    <w:bookmarkEnd w:id="4"/>
    <w:bookmarkEnd w:id="5"/>
    <w:bookmarkEnd w:id="6"/>
    <w:bookmarkEnd w:id="7"/>
    <w:p>
      <w:pPr>
        <w:adjustRightInd w:val="0"/>
        <w:snapToGrid w:val="0"/>
        <w:spacing w:line="440" w:lineRule="exact"/>
        <w:jc w:val="center"/>
        <w:outlineLvl w:val="0"/>
        <w:rPr>
          <w:rFonts w:ascii="Times New Roman" w:hAnsi="Times New Roman" w:cs="Times New Roman"/>
          <w:b/>
          <w:sz w:val="36"/>
          <w:szCs w:val="36"/>
        </w:rPr>
      </w:pPr>
      <w:r>
        <w:rPr>
          <w:rFonts w:ascii="Times New Roman" w:hAnsi="Times New Roman" w:cs="Times New Roman"/>
          <w:b/>
          <w:sz w:val="36"/>
          <w:szCs w:val="36"/>
        </w:rPr>
        <w:t>评审办法及评分标准</w:t>
      </w:r>
    </w:p>
    <w:tbl>
      <w:tblPr>
        <w:tblStyle w:val="14"/>
        <w:tblW w:w="94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750"/>
        <w:gridCol w:w="1875"/>
        <w:gridCol w:w="61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7" w:type="dxa"/>
            <w:gridSpan w:val="2"/>
            <w:tcBorders>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b/>
                <w:color w:val="000000"/>
                <w:szCs w:val="21"/>
              </w:rPr>
            </w:pPr>
            <w:r>
              <w:rPr>
                <w:rFonts w:hint="eastAsia" w:ascii="仿宋_GB2312" w:hAnsi="新宋体" w:eastAsia="仿宋_GB2312"/>
                <w:b/>
                <w:color w:val="000000"/>
                <w:szCs w:val="21"/>
              </w:rPr>
              <w:t>序号</w:t>
            </w:r>
          </w:p>
        </w:tc>
        <w:tc>
          <w:tcPr>
            <w:tcW w:w="187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条款内容</w:t>
            </w:r>
          </w:p>
        </w:tc>
        <w:tc>
          <w:tcPr>
            <w:tcW w:w="618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b/>
                <w:color w:val="000000"/>
                <w:szCs w:val="21"/>
              </w:rPr>
            </w:pPr>
            <w:r>
              <w:rPr>
                <w:rFonts w:hint="eastAsia" w:ascii="仿宋_GB2312" w:hAnsi="新宋体" w:eastAsia="仿宋_GB2312"/>
                <w:b/>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7" w:type="dxa"/>
            <w:gridSpan w:val="2"/>
            <w:tcBorders>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1</w:t>
            </w:r>
          </w:p>
        </w:tc>
        <w:tc>
          <w:tcPr>
            <w:tcW w:w="187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分值构成</w:t>
            </w:r>
          </w:p>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(总分100分)</w:t>
            </w:r>
          </w:p>
        </w:tc>
        <w:tc>
          <w:tcPr>
            <w:tcW w:w="618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rPr>
                <w:rFonts w:ascii="仿宋_GB2312" w:hAnsi="新宋体" w:eastAsia="仿宋_GB2312"/>
                <w:color w:val="000000"/>
                <w:szCs w:val="21"/>
                <w:u w:val="single"/>
              </w:rPr>
            </w:pPr>
            <w:r>
              <w:rPr>
                <w:rFonts w:hint="eastAsia" w:ascii="仿宋_GB2312" w:hAnsi="新宋体" w:eastAsia="仿宋_GB2312"/>
                <w:color w:val="000000"/>
                <w:szCs w:val="21"/>
              </w:rPr>
              <w:t>技术部分：</w:t>
            </w:r>
            <w:r>
              <w:rPr>
                <w:rFonts w:hint="eastAsia" w:ascii="仿宋_GB2312" w:hAnsi="新宋体" w:eastAsia="仿宋_GB2312"/>
                <w:color w:val="000000"/>
                <w:szCs w:val="21"/>
                <w:u w:val="single"/>
              </w:rPr>
              <w:t xml:space="preserve"> 60 </w:t>
            </w:r>
            <w:r>
              <w:rPr>
                <w:rFonts w:hint="eastAsia" w:ascii="仿宋_GB2312" w:hAnsi="新宋体" w:eastAsia="仿宋_GB2312"/>
                <w:color w:val="000000"/>
                <w:szCs w:val="21"/>
              </w:rPr>
              <w:t>分   商务综合部分</w:t>
            </w:r>
            <w:r>
              <w:rPr>
                <w:rFonts w:hint="eastAsia" w:ascii="仿宋_GB2312" w:hAnsi="新宋体" w:eastAsia="仿宋_GB2312"/>
                <w:color w:val="000000"/>
                <w:szCs w:val="21"/>
                <w:u w:val="single"/>
              </w:rPr>
              <w:t>10分</w:t>
            </w:r>
          </w:p>
          <w:p>
            <w:pPr>
              <w:pStyle w:val="4"/>
              <w:adjustRightInd w:val="0"/>
              <w:snapToGrid w:val="0"/>
              <w:spacing w:line="320" w:lineRule="exact"/>
              <w:rPr>
                <w:rFonts w:ascii="仿宋_GB2312" w:hAnsi="新宋体" w:eastAsia="仿宋_GB2312"/>
                <w:color w:val="000000"/>
                <w:szCs w:val="21"/>
              </w:rPr>
            </w:pPr>
            <w:r>
              <w:rPr>
                <w:rFonts w:hint="eastAsia" w:ascii="仿宋_GB2312" w:hAnsi="新宋体" w:eastAsia="仿宋_GB2312"/>
                <w:color w:val="000000"/>
                <w:szCs w:val="21"/>
              </w:rPr>
              <w:t>商务报价部分：</w:t>
            </w:r>
            <w:r>
              <w:rPr>
                <w:rFonts w:hint="eastAsia" w:ascii="仿宋_GB2312" w:hAnsi="新宋体" w:eastAsia="仿宋_GB2312"/>
                <w:color w:val="000000"/>
                <w:szCs w:val="21"/>
                <w:u w:val="single"/>
              </w:rPr>
              <w:t xml:space="preserve"> 30 </w:t>
            </w:r>
            <w:r>
              <w:rPr>
                <w:rFonts w:hint="eastAsia" w:ascii="仿宋_GB2312" w:hAnsi="新宋体" w:eastAsia="仿宋_GB2312"/>
                <w:color w:val="000000"/>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377" w:type="dxa"/>
            <w:gridSpan w:val="2"/>
            <w:tcBorders>
              <w:top w:val="single" w:color="000000" w:sz="4" w:space="0"/>
              <w:left w:val="nil"/>
              <w:bottom w:val="single" w:color="000000" w:sz="4" w:space="0"/>
              <w:right w:val="nil"/>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000000" w:sz="4" w:space="0"/>
              <w:left w:val="nil"/>
              <w:bottom w:val="single" w:color="000000" w:sz="4" w:space="0"/>
              <w:right w:val="nil"/>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6185" w:type="dxa"/>
            <w:tcBorders>
              <w:top w:val="single" w:color="000000" w:sz="4" w:space="0"/>
              <w:left w:val="nil"/>
              <w:bottom w:val="single" w:color="000000" w:sz="4" w:space="0"/>
              <w:right w:val="nil"/>
            </w:tcBorders>
            <w:vAlign w:val="center"/>
          </w:tcPr>
          <w:p>
            <w:pPr>
              <w:pStyle w:val="4"/>
              <w:adjustRightInd w:val="0"/>
              <w:snapToGrid w:val="0"/>
              <w:spacing w:line="320" w:lineRule="exact"/>
              <w:rPr>
                <w:rFonts w:ascii="仿宋_GB2312" w:hAnsi="新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377" w:type="dxa"/>
            <w:gridSpan w:val="2"/>
            <w:tcBorders>
              <w:top w:val="single" w:color="000000" w:sz="4" w:space="0"/>
              <w:left w:val="single" w:color="000000" w:sz="4" w:space="0"/>
              <w:bottom w:val="single" w:color="000000" w:sz="4" w:space="0"/>
              <w:right w:val="single" w:color="000000"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b/>
                <w:color w:val="000000"/>
                <w:szCs w:val="21"/>
              </w:rPr>
              <w:t>条款号</w:t>
            </w:r>
          </w:p>
        </w:tc>
        <w:tc>
          <w:tcPr>
            <w:tcW w:w="1875" w:type="dxa"/>
            <w:tcBorders>
              <w:top w:val="single" w:color="000000" w:sz="4" w:space="0"/>
              <w:left w:val="single" w:color="000000" w:sz="4" w:space="0"/>
              <w:bottom w:val="single" w:color="000000" w:sz="4" w:space="0"/>
              <w:right w:val="single" w:color="000000"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评分因素</w:t>
            </w:r>
          </w:p>
        </w:tc>
        <w:tc>
          <w:tcPr>
            <w:tcW w:w="6185" w:type="dxa"/>
            <w:tcBorders>
              <w:top w:val="single" w:color="000000" w:sz="4" w:space="0"/>
              <w:left w:val="single" w:color="000000" w:sz="4" w:space="0"/>
              <w:bottom w:val="single" w:color="000000" w:sz="4" w:space="0"/>
              <w:right w:val="single" w:color="000000"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b/>
                <w:color w:val="000000"/>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restart"/>
            <w:tcBorders>
              <w:top w:val="single" w:color="000000" w:sz="4" w:space="0"/>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1</w:t>
            </w:r>
          </w:p>
        </w:tc>
        <w:tc>
          <w:tcPr>
            <w:tcW w:w="750" w:type="dxa"/>
            <w:vMerge w:val="restart"/>
            <w:tcBorders>
              <w:top w:val="single" w:color="000000" w:sz="4" w:space="0"/>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技术部份</w:t>
            </w:r>
            <w:r>
              <w:rPr>
                <w:rFonts w:ascii="仿宋_GB2312" w:hAnsi="新宋体" w:eastAsia="仿宋_GB2312"/>
                <w:color w:val="000000"/>
                <w:szCs w:val="21"/>
              </w:rPr>
              <w:t>(</w:t>
            </w:r>
            <w:r>
              <w:rPr>
                <w:rFonts w:hint="eastAsia" w:ascii="仿宋_GB2312" w:hAnsi="新宋体" w:eastAsia="仿宋_GB2312"/>
                <w:color w:val="000000"/>
                <w:szCs w:val="21"/>
                <w:lang w:val="en-US" w:eastAsia="zh-CN"/>
              </w:rPr>
              <w:t>55</w:t>
            </w:r>
            <w:r>
              <w:rPr>
                <w:rFonts w:hint="eastAsia" w:ascii="仿宋_GB2312" w:hAnsi="新宋体" w:eastAsia="仿宋_GB2312"/>
                <w:color w:val="000000"/>
                <w:szCs w:val="21"/>
              </w:rPr>
              <w:t>分）</w:t>
            </w:r>
          </w:p>
        </w:tc>
        <w:tc>
          <w:tcPr>
            <w:tcW w:w="1875"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施工方案</w:t>
            </w:r>
            <w:r>
              <w:rPr>
                <w:rFonts w:hint="eastAsia" w:ascii="仿宋_GB2312" w:hAnsi="新宋体" w:eastAsia="仿宋_GB2312"/>
                <w:color w:val="000000"/>
                <w:szCs w:val="21"/>
                <w:lang w:val="en-US" w:eastAsia="zh-CN"/>
              </w:rPr>
              <w:t>（10分）</w:t>
            </w:r>
          </w:p>
        </w:tc>
        <w:tc>
          <w:tcPr>
            <w:tcW w:w="6185"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施工重点难点分析</w:t>
            </w:r>
            <w:r>
              <w:rPr>
                <w:rFonts w:hint="eastAsia" w:ascii="仿宋_GB2312" w:hAnsi="新宋体" w:eastAsia="仿宋_GB2312"/>
                <w:color w:val="000000"/>
                <w:szCs w:val="21"/>
                <w:lang w:val="en-US" w:eastAsia="zh-CN"/>
              </w:rPr>
              <w:t>（12分）</w:t>
            </w:r>
          </w:p>
        </w:tc>
        <w:tc>
          <w:tcPr>
            <w:tcW w:w="6185"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针对本项目制定的施工重点难点分析报告非常详细，思路清晰，完全符合项目实际情况的得8-12分；供应商针对本项目制定的施工重点难点分析报告基本详细，符合项目实际情况的得4-7分；供应商针对本项目制定的施工重点难点分析报告简单描述，勉强符合项目实际情况的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lang w:val="en-US" w:eastAsia="zh-CN"/>
              </w:rPr>
            </w:pPr>
            <w:r>
              <w:rPr>
                <w:rFonts w:hint="eastAsia" w:ascii="仿宋_GB2312" w:hAnsi="新宋体" w:eastAsia="仿宋_GB2312"/>
                <w:color w:val="000000"/>
                <w:szCs w:val="21"/>
              </w:rPr>
              <w:t>质量保障措施</w:t>
            </w:r>
            <w:r>
              <w:rPr>
                <w:rFonts w:hint="eastAsia" w:ascii="仿宋_GB2312" w:hAnsi="新宋体" w:eastAsia="仿宋_GB2312"/>
                <w:color w:val="000000"/>
                <w:szCs w:val="21"/>
                <w:lang w:val="en-US" w:eastAsia="zh-CN"/>
              </w:rPr>
              <w:t>（</w:t>
            </w:r>
            <w:r>
              <w:rPr>
                <w:rFonts w:hint="eastAsia" w:ascii="仿宋_GB2312" w:hAnsi="新宋体" w:eastAsia="仿宋_GB2312"/>
                <w:color w:val="000000"/>
                <w:szCs w:val="21"/>
              </w:rPr>
              <w:t>6</w:t>
            </w:r>
            <w:r>
              <w:rPr>
                <w:rFonts w:hint="eastAsia" w:ascii="仿宋_GB2312" w:hAnsi="新宋体" w:eastAsia="仿宋_GB2312"/>
                <w:color w:val="000000"/>
                <w:szCs w:val="21"/>
                <w:lang w:val="en-US" w:eastAsia="zh-CN"/>
              </w:rPr>
              <w:t>分）</w:t>
            </w:r>
          </w:p>
        </w:tc>
        <w:tc>
          <w:tcPr>
            <w:tcW w:w="6185"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针对本项目的质量保障措施配置科学合理、规章制度健全、岗位职责及质量管理目标明确得5-6分；质量保障措施配置合理、规章制度健全、岗位职责及质量管理目标明确的得3-4分；质量保障措施配置基本合理、规章制度健全、岗位职责及质量管理目标基本明确的得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lang w:val="en-US" w:eastAsia="zh-CN"/>
              </w:rPr>
            </w:pPr>
            <w:r>
              <w:rPr>
                <w:rFonts w:hint="eastAsia" w:ascii="仿宋_GB2312" w:hAnsi="新宋体" w:eastAsia="仿宋_GB2312"/>
                <w:color w:val="000000"/>
                <w:szCs w:val="21"/>
              </w:rPr>
              <w:t>安全、文明管理体系与措施</w:t>
            </w:r>
            <w:r>
              <w:rPr>
                <w:rFonts w:hint="eastAsia" w:ascii="仿宋_GB2312" w:hAnsi="新宋体" w:eastAsia="仿宋_GB2312"/>
                <w:color w:val="000000"/>
                <w:szCs w:val="21"/>
                <w:lang w:val="en-US" w:eastAsia="zh-CN"/>
              </w:rPr>
              <w:t>（</w:t>
            </w:r>
            <w:r>
              <w:rPr>
                <w:rFonts w:hint="eastAsia" w:ascii="仿宋_GB2312" w:hAnsi="新宋体" w:eastAsia="仿宋_GB2312"/>
                <w:color w:val="000000"/>
                <w:szCs w:val="21"/>
              </w:rPr>
              <w:t>6</w:t>
            </w:r>
            <w:r>
              <w:rPr>
                <w:rFonts w:hint="eastAsia" w:ascii="仿宋_GB2312" w:hAnsi="新宋体" w:eastAsia="仿宋_GB2312"/>
                <w:color w:val="000000"/>
                <w:szCs w:val="21"/>
                <w:lang w:val="en-US" w:eastAsia="zh-CN"/>
              </w:rPr>
              <w:t>分）</w:t>
            </w:r>
          </w:p>
        </w:tc>
        <w:tc>
          <w:tcPr>
            <w:tcW w:w="61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lang w:val="en-US" w:eastAsia="zh-CN"/>
              </w:rPr>
            </w:pPr>
            <w:r>
              <w:rPr>
                <w:rFonts w:hint="eastAsia" w:ascii="仿宋_GB2312" w:hAnsi="新宋体" w:eastAsia="仿宋_GB2312"/>
                <w:color w:val="000000"/>
                <w:szCs w:val="21"/>
              </w:rPr>
              <w:t>施工环保措施计划、减少噪音、降低环境污染</w:t>
            </w:r>
            <w:r>
              <w:rPr>
                <w:rFonts w:hint="eastAsia" w:ascii="仿宋_GB2312" w:hAnsi="新宋体" w:eastAsia="仿宋_GB2312"/>
                <w:color w:val="000000"/>
                <w:szCs w:val="21"/>
                <w:lang w:val="en-US" w:eastAsia="zh-CN"/>
              </w:rPr>
              <w:t>（</w:t>
            </w:r>
            <w:r>
              <w:rPr>
                <w:rFonts w:hint="eastAsia" w:ascii="仿宋_GB2312" w:hAnsi="新宋体" w:eastAsia="仿宋_GB2312"/>
                <w:color w:val="000000"/>
                <w:szCs w:val="21"/>
              </w:rPr>
              <w:t>6</w:t>
            </w:r>
            <w:r>
              <w:rPr>
                <w:rFonts w:hint="eastAsia" w:ascii="仿宋_GB2312" w:hAnsi="新宋体" w:eastAsia="仿宋_GB2312"/>
                <w:color w:val="000000"/>
                <w:szCs w:val="21"/>
                <w:lang w:val="en-US" w:eastAsia="zh-CN"/>
              </w:rPr>
              <w:t>分）</w:t>
            </w:r>
          </w:p>
        </w:tc>
        <w:tc>
          <w:tcPr>
            <w:tcW w:w="61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的施工环保措施计划、减少噪音、降低环境污染等措施科学先进、合理的得5-6分；施工环保措施计划、减少噪音、降低环境污染等措施合理的得3-4分；施工环保措施计划、减少噪音、降低环境污染等措施基本合理的得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lang w:val="en-US" w:eastAsia="zh-CN"/>
              </w:rPr>
            </w:pPr>
            <w:r>
              <w:rPr>
                <w:rFonts w:hint="eastAsia" w:ascii="仿宋_GB2312" w:hAnsi="新宋体" w:eastAsia="仿宋_GB2312"/>
                <w:color w:val="000000"/>
                <w:szCs w:val="21"/>
              </w:rPr>
              <w:t>工程进度保障措施</w:t>
            </w:r>
            <w:r>
              <w:rPr>
                <w:rFonts w:hint="eastAsia" w:ascii="仿宋_GB2312" w:hAnsi="新宋体" w:eastAsia="仿宋_GB2312"/>
                <w:color w:val="000000"/>
                <w:szCs w:val="21"/>
                <w:lang w:val="en-US" w:eastAsia="zh-CN"/>
              </w:rPr>
              <w:t>（3分）</w:t>
            </w:r>
          </w:p>
        </w:tc>
        <w:tc>
          <w:tcPr>
            <w:tcW w:w="61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供应商的工程进度保障措施完善合理，且完全符合项目特点得3分；工程进度保障措施较合理得2分；工程进度保障措施基本合理得1分。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lang w:val="en-US" w:eastAsia="zh-CN"/>
              </w:rPr>
            </w:pPr>
            <w:r>
              <w:rPr>
                <w:rFonts w:hint="eastAsia" w:ascii="仿宋_GB2312" w:hAnsi="新宋体" w:eastAsia="仿宋_GB2312"/>
                <w:color w:val="000000"/>
                <w:szCs w:val="21"/>
              </w:rPr>
              <w:t>资源配备计划</w:t>
            </w:r>
            <w:r>
              <w:rPr>
                <w:rFonts w:hint="eastAsia" w:ascii="仿宋_GB2312" w:hAnsi="新宋体" w:eastAsia="仿宋_GB2312"/>
                <w:color w:val="000000"/>
                <w:szCs w:val="21"/>
                <w:lang w:val="en-US" w:eastAsia="zh-CN"/>
              </w:rPr>
              <w:t>（</w:t>
            </w:r>
            <w:r>
              <w:rPr>
                <w:rFonts w:hint="eastAsia" w:ascii="仿宋_GB2312" w:hAnsi="新宋体" w:eastAsia="仿宋_GB2312"/>
                <w:color w:val="000000"/>
                <w:szCs w:val="21"/>
              </w:rPr>
              <w:t>6</w:t>
            </w:r>
            <w:r>
              <w:rPr>
                <w:rFonts w:hint="eastAsia" w:ascii="仿宋_GB2312" w:hAnsi="新宋体" w:eastAsia="仿宋_GB2312"/>
                <w:color w:val="000000"/>
                <w:szCs w:val="21"/>
                <w:lang w:val="en-US" w:eastAsia="zh-CN"/>
              </w:rPr>
              <w:t>分）</w:t>
            </w:r>
          </w:p>
        </w:tc>
        <w:tc>
          <w:tcPr>
            <w:tcW w:w="6185"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的资金使用和主要材料用量的计算说明详细完善、思路清晰，劳动力与施工机械设备安排计划科学合理的得5-6分；资金使用和主要材料的计算说明基本详细，劳动力与施工机械设备安排计划合理的得3-4分；资金使用和主要材料用量的计算说明简单描述，劳动力与施工机械设备安排计划基本合理的得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lang w:val="en-US" w:eastAsia="zh-CN"/>
              </w:rPr>
            </w:pPr>
            <w:r>
              <w:rPr>
                <w:rFonts w:hint="eastAsia" w:ascii="仿宋_GB2312" w:hAnsi="新宋体" w:eastAsia="仿宋_GB2312"/>
                <w:color w:val="000000"/>
                <w:szCs w:val="21"/>
              </w:rPr>
              <w:t>质量服务承诺</w:t>
            </w:r>
            <w:r>
              <w:rPr>
                <w:rFonts w:hint="eastAsia" w:ascii="仿宋_GB2312" w:hAnsi="新宋体" w:eastAsia="仿宋_GB2312"/>
                <w:color w:val="000000"/>
                <w:szCs w:val="21"/>
                <w:lang w:val="en-US" w:eastAsia="zh-CN"/>
              </w:rPr>
              <w:t>（2分）</w:t>
            </w:r>
          </w:p>
        </w:tc>
        <w:tc>
          <w:tcPr>
            <w:tcW w:w="61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供应商有保证工程质量的承诺且有具体的经济处罚措施的的得2分，没有得0分。（提供承诺书原件并加盖公章）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color w:val="000000"/>
                <w:szCs w:val="21"/>
              </w:rPr>
            </w:pPr>
          </w:p>
        </w:tc>
        <w:tc>
          <w:tcPr>
            <w:tcW w:w="750" w:type="dxa"/>
            <w:vMerge w:val="continue"/>
            <w:tcBorders>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lang w:val="en-US" w:eastAsia="zh-CN"/>
              </w:rPr>
            </w:pPr>
            <w:r>
              <w:rPr>
                <w:rFonts w:hint="eastAsia" w:ascii="仿宋_GB2312" w:hAnsi="新宋体" w:eastAsia="仿宋_GB2312"/>
                <w:color w:val="000000"/>
                <w:szCs w:val="21"/>
              </w:rPr>
              <w:t>售后服务承诺</w:t>
            </w:r>
            <w:r>
              <w:rPr>
                <w:rFonts w:hint="eastAsia" w:ascii="仿宋_GB2312" w:hAnsi="新宋体" w:eastAsia="仿宋_GB2312"/>
                <w:color w:val="000000"/>
                <w:szCs w:val="21"/>
                <w:lang w:val="en-US" w:eastAsia="zh-CN"/>
              </w:rPr>
              <w:t>（4分）</w:t>
            </w:r>
          </w:p>
        </w:tc>
        <w:tc>
          <w:tcPr>
            <w:tcW w:w="61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1.供应商有明确的售后服务措施（包括质保期和故障响应时间），且承诺具体可行，具有一定优势，最高得2分；</w:t>
            </w:r>
          </w:p>
          <w:p>
            <w:pPr>
              <w:widowControl/>
              <w:jc w:val="left"/>
              <w:rPr>
                <w:rFonts w:hint="eastAsia" w:ascii="仿宋_GB2312" w:hAnsi="新宋体" w:eastAsia="仿宋_GB2312"/>
                <w:color w:val="000000"/>
                <w:szCs w:val="21"/>
              </w:rPr>
            </w:pPr>
            <w:r>
              <w:rPr>
                <w:rFonts w:hint="eastAsia" w:ascii="仿宋_GB2312" w:hAnsi="新宋体" w:eastAsia="仿宋_GB2312"/>
                <w:color w:val="000000"/>
                <w:szCs w:val="21"/>
              </w:rPr>
              <w:t>2.供应商有售后质保承诺的得2分，否则不得分。（提供承诺书原件并加盖公章）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0" w:hRule="atLeast"/>
          <w:jc w:val="center"/>
        </w:trPr>
        <w:tc>
          <w:tcPr>
            <w:tcW w:w="627" w:type="dxa"/>
            <w:vMerge w:val="restart"/>
            <w:tcBorders>
              <w:top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2</w:t>
            </w:r>
          </w:p>
          <w:p>
            <w:pPr>
              <w:pStyle w:val="4"/>
              <w:adjustRightInd w:val="0"/>
              <w:snapToGrid w:val="0"/>
              <w:spacing w:line="320" w:lineRule="exact"/>
              <w:jc w:val="center"/>
              <w:rPr>
                <w:rFonts w:ascii="仿宋_GB2312" w:hAnsi="新宋体" w:eastAsia="仿宋_GB2312"/>
                <w:color w:val="000000"/>
                <w:szCs w:val="21"/>
              </w:rPr>
            </w:pPr>
          </w:p>
        </w:tc>
        <w:tc>
          <w:tcPr>
            <w:tcW w:w="750" w:type="dxa"/>
            <w:vMerge w:val="restart"/>
            <w:tcBorders>
              <w:top w:val="single" w:color="auto" w:sz="4" w:space="0"/>
              <w:right w:val="single" w:color="auto" w:sz="4" w:space="0"/>
            </w:tcBorders>
            <w:vAlign w:val="center"/>
          </w:tcPr>
          <w:p>
            <w:pPr>
              <w:pStyle w:val="4"/>
              <w:adjustRightInd w:val="0"/>
              <w:snapToGrid w:val="0"/>
              <w:spacing w:line="320" w:lineRule="exact"/>
              <w:jc w:val="center"/>
              <w:rPr>
                <w:rFonts w:ascii="仿宋" w:hAnsi="仿宋" w:eastAsia="仿宋" w:cs="仿宋"/>
                <w:color w:val="000000"/>
                <w:szCs w:val="21"/>
              </w:rPr>
            </w:pPr>
            <w:r>
              <w:rPr>
                <w:rFonts w:hint="eastAsia" w:ascii="仿宋" w:hAnsi="仿宋" w:eastAsia="仿宋" w:cs="仿宋"/>
                <w:color w:val="000000"/>
                <w:szCs w:val="21"/>
              </w:rPr>
              <w:t>商务综合部份（1</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w:t>
            </w:r>
          </w:p>
        </w:tc>
        <w:tc>
          <w:tcPr>
            <w:tcW w:w="1875" w:type="dxa"/>
            <w:tcBorders>
              <w:top w:val="single" w:color="auto" w:sz="4" w:space="0"/>
              <w:left w:val="single" w:color="auto" w:sz="4" w:space="0"/>
              <w:right w:val="single" w:color="auto" w:sz="4" w:space="0"/>
            </w:tcBorders>
            <w:vAlign w:val="center"/>
          </w:tcPr>
          <w:p>
            <w:pPr>
              <w:spacing w:line="300" w:lineRule="auto"/>
              <w:ind w:left="-105" w:leftChars="-50" w:right="-105" w:rightChars="-50"/>
              <w:jc w:val="center"/>
              <w:rPr>
                <w:rFonts w:hint="eastAsia" w:ascii="仿宋_GB2312" w:hAnsi="新宋体" w:eastAsia="宋体"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企业实力（</w:t>
            </w:r>
            <w:r>
              <w:rPr>
                <w:rFonts w:hint="eastAsia" w:ascii="宋体" w:hAnsi="宋体"/>
                <w:sz w:val="18"/>
                <w:szCs w:val="18"/>
              </w:rPr>
              <w:t>6</w:t>
            </w:r>
            <w:r>
              <w:rPr>
                <w:rFonts w:hint="eastAsia" w:ascii="仿宋_GB2312" w:hAnsi="新宋体" w:eastAsia="仿宋_GB2312" w:cs="Times New Roman"/>
                <w:color w:val="000000"/>
                <w:kern w:val="2"/>
                <w:sz w:val="21"/>
                <w:szCs w:val="21"/>
                <w:lang w:val="en-US" w:eastAsia="zh-CN" w:bidi="ar-SA"/>
              </w:rPr>
              <w:t>分）</w:t>
            </w:r>
          </w:p>
        </w:tc>
        <w:tc>
          <w:tcPr>
            <w:tcW w:w="618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1.供应商具备合格有效的ISO9001质量管理体系认证证书得2分；</w:t>
            </w:r>
          </w:p>
          <w:p>
            <w:pPr>
              <w:spacing w:line="240" w:lineRule="exact"/>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2.供应商具备合格有效的ISO14001环境管理体系认证证书得2分；</w:t>
            </w:r>
          </w:p>
          <w:p>
            <w:pPr>
              <w:spacing w:line="240" w:lineRule="exact"/>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3.供应商具备合格有效的OHSAS18001职业健康安全管理体系认证证书得2分。</w:t>
            </w:r>
            <w:r>
              <w:rPr>
                <w:rFonts w:hint="eastAsia" w:ascii="仿宋_GB2312" w:hAnsi="新宋体" w:eastAsia="仿宋_GB2312" w:cs="Times New Roman"/>
                <w:b/>
                <w:bCs/>
                <w:color w:val="000000"/>
                <w:kern w:val="2"/>
                <w:sz w:val="21"/>
                <w:szCs w:val="21"/>
                <w:lang w:val="en-US" w:eastAsia="zh-CN" w:bidi="ar-SA"/>
              </w:rPr>
              <w:t>(需提供有效证明材料，且证明材料须提供真彩扫描打印件并加盖公章）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szCs w:val="21"/>
              </w:rPr>
            </w:pPr>
          </w:p>
        </w:tc>
        <w:tc>
          <w:tcPr>
            <w:tcW w:w="750" w:type="dxa"/>
            <w:vMerge w:val="continue"/>
            <w:tcBorders>
              <w:right w:val="single" w:color="auto" w:sz="4" w:space="0"/>
            </w:tcBorders>
          </w:tcPr>
          <w:p>
            <w:pPr>
              <w:pStyle w:val="4"/>
              <w:adjustRightInd w:val="0"/>
              <w:snapToGrid w:val="0"/>
              <w:spacing w:line="320" w:lineRule="exact"/>
              <w:jc w:val="center"/>
              <w:rPr>
                <w:rFonts w:ascii="仿宋" w:hAnsi="仿宋" w:eastAsia="仿宋" w:cs="仿宋"/>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left="-105" w:leftChars="-50" w:right="-105" w:rightChars="-50"/>
              <w:jc w:val="center"/>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类似项目（2分）</w:t>
            </w:r>
          </w:p>
        </w:tc>
        <w:tc>
          <w:tcPr>
            <w:tcW w:w="618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rPr>
                <w:rFonts w:hint="eastAsia" w:ascii="仿宋_GB2312" w:hAnsi="新宋体" w:eastAsia="仿宋_GB2312" w:cs="Times New Roman"/>
                <w:b/>
                <w:bCs/>
                <w:color w:val="000000"/>
                <w:kern w:val="2"/>
                <w:sz w:val="21"/>
                <w:szCs w:val="21"/>
                <w:lang w:val="en-US" w:eastAsia="zh-CN" w:bidi="ar-SA"/>
              </w:rPr>
            </w:pPr>
            <w:r>
              <w:rPr>
                <w:rFonts w:hint="eastAsia" w:ascii="仿宋_GB2312" w:hAnsi="新宋体" w:eastAsia="仿宋_GB2312" w:cs="Times New Roman"/>
                <w:b w:val="0"/>
                <w:bCs w:val="0"/>
                <w:color w:val="000000"/>
                <w:kern w:val="2"/>
                <w:sz w:val="21"/>
                <w:szCs w:val="21"/>
                <w:lang w:val="en-US" w:eastAsia="zh-CN" w:bidi="ar-SA"/>
              </w:rPr>
              <w:t>根据供应商提供的近三年（2017年07月至今）类似项目数量进行评分，每提供一个类似项目加1分，此项最高得2分。（供应商提供的业绩信息必须附中标通知书、合同协议书、工程接收证书或工程竣工验收证书（工程竣工验收备案证）及其他证明材料。</w:t>
            </w:r>
            <w:r>
              <w:rPr>
                <w:rFonts w:hint="eastAsia" w:ascii="仿宋_GB2312" w:hAnsi="新宋体" w:eastAsia="仿宋_GB2312" w:cs="Times New Roman"/>
                <w:b/>
                <w:bCs/>
                <w:color w:val="000000"/>
                <w:kern w:val="2"/>
                <w:sz w:val="21"/>
                <w:szCs w:val="21"/>
                <w:lang w:val="en-US" w:eastAsia="zh-CN" w:bidi="ar-SA"/>
              </w:rPr>
              <w:t>（需提供有效证明材料，且证明材料须提供真彩扫描打印件并加盖公章）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szCs w:val="21"/>
              </w:rPr>
            </w:pPr>
          </w:p>
        </w:tc>
        <w:tc>
          <w:tcPr>
            <w:tcW w:w="750" w:type="dxa"/>
            <w:vMerge w:val="continue"/>
            <w:tcBorders>
              <w:right w:val="single" w:color="auto" w:sz="4" w:space="0"/>
            </w:tcBorders>
          </w:tcPr>
          <w:p>
            <w:pPr>
              <w:pStyle w:val="4"/>
              <w:adjustRightInd w:val="0"/>
              <w:snapToGrid w:val="0"/>
              <w:spacing w:line="320" w:lineRule="exact"/>
              <w:jc w:val="center"/>
              <w:rPr>
                <w:rFonts w:ascii="仿宋" w:hAnsi="仿宋" w:eastAsia="仿宋" w:cs="仿宋"/>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00" w:lineRule="auto"/>
              <w:ind w:left="-105" w:leftChars="-50" w:right="-105" w:rightChars="-5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项目人员（2分）</w:t>
            </w:r>
          </w:p>
        </w:tc>
        <w:tc>
          <w:tcPr>
            <w:tcW w:w="618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1.供应商拟派驻本项目的项目经理具备相关专业中级及以上职称的得1分；</w:t>
            </w:r>
          </w:p>
          <w:p>
            <w:pPr>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2. 供应商拟派驻本项目的项目技术负责人具备相关专业高级职称的得1分；</w:t>
            </w:r>
            <w:r>
              <w:rPr>
                <w:rFonts w:hint="eastAsia" w:ascii="仿宋_GB2312" w:hAnsi="新宋体" w:eastAsia="仿宋_GB2312" w:cs="Times New Roman"/>
                <w:b/>
                <w:bCs/>
                <w:color w:val="000000"/>
                <w:kern w:val="2"/>
                <w:sz w:val="21"/>
                <w:szCs w:val="21"/>
                <w:lang w:val="en-US" w:eastAsia="zh-CN" w:bidi="ar-SA"/>
              </w:rPr>
              <w:t>（需提供有效证明材料，且证明材料须提供真彩扫描打印件并加盖公章）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627" w:type="dxa"/>
            <w:vMerge w:val="continue"/>
            <w:tcBorders>
              <w:right w:val="single" w:color="auto" w:sz="4" w:space="0"/>
            </w:tcBorders>
          </w:tcPr>
          <w:p>
            <w:pPr>
              <w:pStyle w:val="4"/>
              <w:adjustRightInd w:val="0"/>
              <w:snapToGrid w:val="0"/>
              <w:spacing w:line="320" w:lineRule="exact"/>
              <w:jc w:val="center"/>
              <w:rPr>
                <w:rFonts w:ascii="仿宋_GB2312" w:hAnsi="新宋体" w:eastAsia="仿宋_GB2312"/>
                <w:szCs w:val="21"/>
              </w:rPr>
            </w:pPr>
          </w:p>
        </w:tc>
        <w:tc>
          <w:tcPr>
            <w:tcW w:w="750" w:type="dxa"/>
            <w:vMerge w:val="continue"/>
            <w:tcBorders>
              <w:right w:val="single" w:color="auto" w:sz="4" w:space="0"/>
            </w:tcBorders>
          </w:tcPr>
          <w:p>
            <w:pPr>
              <w:pStyle w:val="4"/>
              <w:adjustRightInd w:val="0"/>
              <w:snapToGrid w:val="0"/>
              <w:spacing w:line="320" w:lineRule="exact"/>
              <w:jc w:val="center"/>
              <w:rPr>
                <w:rFonts w:ascii="仿宋" w:hAnsi="仿宋" w:eastAsia="仿宋" w:cs="仿宋"/>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00" w:lineRule="auto"/>
              <w:ind w:left="-105" w:leftChars="-50" w:right="-105" w:rightChars="-5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承诺（3分）</w:t>
            </w:r>
          </w:p>
        </w:tc>
        <w:tc>
          <w:tcPr>
            <w:tcW w:w="618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1.供应商承诺施工过程中不随意更换项目经理、技术负责人得 1分，否则得 0 分；</w:t>
            </w:r>
          </w:p>
          <w:p>
            <w:pPr>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2.供应商承诺创建优质工程并有相应完善的管理措施的得 1分，否则得 0 分；</w:t>
            </w:r>
          </w:p>
          <w:p>
            <w:pPr>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3.供应商承诺施工过程中保障施工人员权益（包括但不限于不拖欠施工人员工资、保障施工人员福利等）的得1分，否则得 0 分。</w:t>
            </w:r>
          </w:p>
          <w:p>
            <w:pPr>
              <w:ind w:left="-105" w:leftChars="-50" w:right="-105" w:rightChars="-50"/>
              <w:rPr>
                <w:rFonts w:hint="eastAsia"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b/>
                <w:bCs/>
                <w:color w:val="000000"/>
                <w:kern w:val="2"/>
                <w:sz w:val="21"/>
                <w:szCs w:val="21"/>
                <w:lang w:val="en-US" w:eastAsia="zh-CN" w:bidi="ar-SA"/>
              </w:rPr>
              <w:t>（需提供以上承诺书原件并加盖公章）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627" w:type="dxa"/>
            <w:vMerge w:val="continue"/>
            <w:tcBorders>
              <w:bottom w:val="single" w:color="auto" w:sz="4" w:space="0"/>
              <w:right w:val="single" w:color="auto" w:sz="4" w:space="0"/>
            </w:tcBorders>
          </w:tcPr>
          <w:p>
            <w:pPr>
              <w:pStyle w:val="4"/>
              <w:adjustRightInd w:val="0"/>
              <w:snapToGrid w:val="0"/>
              <w:spacing w:line="320" w:lineRule="exact"/>
              <w:jc w:val="center"/>
              <w:rPr>
                <w:rFonts w:ascii="仿宋_GB2312" w:hAnsi="新宋体" w:eastAsia="仿宋_GB2312"/>
                <w:szCs w:val="21"/>
              </w:rPr>
            </w:pPr>
          </w:p>
        </w:tc>
        <w:tc>
          <w:tcPr>
            <w:tcW w:w="750" w:type="dxa"/>
            <w:vMerge w:val="continue"/>
            <w:tcBorders>
              <w:bottom w:val="single" w:color="auto" w:sz="4" w:space="0"/>
              <w:right w:val="single" w:color="auto" w:sz="4" w:space="0"/>
            </w:tcBorders>
          </w:tcPr>
          <w:p>
            <w:pPr>
              <w:pStyle w:val="4"/>
              <w:adjustRightInd w:val="0"/>
              <w:snapToGrid w:val="0"/>
              <w:spacing w:line="320" w:lineRule="exact"/>
              <w:jc w:val="center"/>
              <w:rPr>
                <w:rFonts w:ascii="仿宋" w:hAnsi="仿宋" w:eastAsia="仿宋" w:cs="仿宋"/>
                <w:szCs w:val="21"/>
              </w:rPr>
            </w:pPr>
          </w:p>
        </w:tc>
        <w:tc>
          <w:tcPr>
            <w:tcW w:w="1875"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left="-105" w:leftChars="-50" w:right="-105" w:rightChars="-50"/>
              <w:jc w:val="center"/>
              <w:rPr>
                <w:rFonts w:hint="default" w:ascii="仿宋_GB2312" w:hAnsi="新宋体" w:eastAsia="仿宋_GB2312" w:cs="Times New Roman"/>
                <w:color w:val="000000"/>
                <w:kern w:val="2"/>
                <w:sz w:val="21"/>
                <w:szCs w:val="21"/>
                <w:lang w:val="en-US" w:eastAsia="zh-CN" w:bidi="ar-SA"/>
              </w:rPr>
            </w:pPr>
            <w:r>
              <w:rPr>
                <w:rFonts w:hint="eastAsia" w:ascii="仿宋_GB2312" w:hAnsi="新宋体" w:eastAsia="仿宋_GB2312" w:cs="Times New Roman"/>
                <w:color w:val="000000"/>
                <w:kern w:val="2"/>
                <w:sz w:val="21"/>
                <w:szCs w:val="21"/>
                <w:lang w:val="en-US" w:eastAsia="zh-CN" w:bidi="ar-SA"/>
              </w:rPr>
              <w:t>磋商响应文件的完整性（2分）</w:t>
            </w:r>
          </w:p>
        </w:tc>
        <w:tc>
          <w:tcPr>
            <w:tcW w:w="618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rPr>
                <w:rFonts w:hint="eastAsia" w:ascii="仿宋" w:hAnsi="仿宋" w:eastAsia="仿宋" w:cs="仿宋"/>
                <w:kern w:val="0"/>
                <w:szCs w:val="21"/>
              </w:rPr>
            </w:pPr>
            <w:r>
              <w:rPr>
                <w:rFonts w:hint="eastAsia" w:ascii="仿宋_GB2312" w:hAnsi="新宋体" w:eastAsia="仿宋_GB2312" w:cs="Times New Roman"/>
                <w:color w:val="000000"/>
                <w:kern w:val="2"/>
                <w:sz w:val="21"/>
                <w:szCs w:val="21"/>
                <w:lang w:val="en-US" w:eastAsia="zh-CN" w:bidi="ar-SA"/>
              </w:rPr>
              <w:t>磋商响应文件全面响应磋商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color w:val="000000"/>
                <w:szCs w:val="21"/>
              </w:rPr>
            </w:pPr>
            <w:r>
              <w:rPr>
                <w:rFonts w:hint="eastAsia" w:ascii="仿宋_GB2312" w:hAnsi="新宋体" w:eastAsia="仿宋_GB2312"/>
                <w:color w:val="000000"/>
                <w:szCs w:val="21"/>
              </w:rPr>
              <w:t>3</w:t>
            </w:r>
          </w:p>
        </w:tc>
        <w:tc>
          <w:tcPr>
            <w:tcW w:w="750"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szCs w:val="21"/>
              </w:rPr>
            </w:pPr>
            <w:r>
              <w:rPr>
                <w:rFonts w:hint="eastAsia" w:ascii="仿宋_GB2312" w:hAnsi="新宋体" w:eastAsia="仿宋_GB2312"/>
                <w:szCs w:val="21"/>
              </w:rPr>
              <w:t>商务报价部份）</w:t>
            </w:r>
          </w:p>
        </w:tc>
        <w:tc>
          <w:tcPr>
            <w:tcW w:w="187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ascii="仿宋_GB2312" w:hAnsi="新宋体" w:eastAsia="仿宋_GB2312"/>
                <w:szCs w:val="21"/>
              </w:rPr>
            </w:pPr>
            <w:r>
              <w:rPr>
                <w:rFonts w:hint="eastAsia" w:ascii="仿宋_GB2312" w:hAnsi="新宋体" w:eastAsia="仿宋_GB2312"/>
                <w:color w:val="000000"/>
                <w:szCs w:val="21"/>
              </w:rPr>
              <w:t>投标总价（30分）</w:t>
            </w:r>
          </w:p>
        </w:tc>
        <w:tc>
          <w:tcPr>
            <w:tcW w:w="6185" w:type="dxa"/>
            <w:tcBorders>
              <w:top w:val="single" w:color="auto" w:sz="4" w:space="0"/>
              <w:left w:val="single" w:color="auto" w:sz="4" w:space="0"/>
              <w:bottom w:val="single" w:color="auto" w:sz="4" w:space="0"/>
              <w:right w:val="single" w:color="auto" w:sz="4" w:space="0"/>
            </w:tcBorders>
          </w:tcPr>
          <w:p>
            <w:pPr>
              <w:pStyle w:val="4"/>
              <w:adjustRightInd w:val="0"/>
              <w:snapToGrid w:val="0"/>
              <w:spacing w:line="320" w:lineRule="exact"/>
              <w:ind w:firstLine="420" w:firstLineChars="200"/>
              <w:rPr>
                <w:rFonts w:ascii="仿宋_GB2312" w:hAnsi="新宋体" w:eastAsia="仿宋_GB2312"/>
                <w:color w:val="000000"/>
                <w:szCs w:val="21"/>
              </w:rPr>
            </w:pPr>
            <w:r>
              <w:rPr>
                <w:rFonts w:hint="eastAsia" w:ascii="仿宋_GB2312" w:hAnsi="新宋体" w:eastAsia="仿宋_GB2312"/>
                <w:color w:val="000000"/>
                <w:szCs w:val="21"/>
              </w:rPr>
              <w:t>综合评分法中的价格分统一采用低价优先法计算，即满足磋商文件要求且最后报价最低的供应商的价格为磋商基准价，其价格分为满分。其他供应商的价格分统一按照下列公式计算：</w:t>
            </w:r>
          </w:p>
          <w:p>
            <w:pPr>
              <w:pStyle w:val="4"/>
              <w:adjustRightInd w:val="0"/>
              <w:snapToGrid w:val="0"/>
              <w:spacing w:line="320" w:lineRule="exact"/>
              <w:rPr>
                <w:rFonts w:ascii="仿宋_GB2312" w:hAnsi="新宋体" w:eastAsia="仿宋_GB2312"/>
                <w:color w:val="000000"/>
                <w:szCs w:val="21"/>
              </w:rPr>
            </w:pPr>
            <w:r>
              <w:rPr>
                <w:rFonts w:hint="eastAsia" w:ascii="仿宋_GB2312" w:hAnsi="新宋体" w:eastAsia="仿宋_GB2312"/>
                <w:color w:val="000000"/>
                <w:szCs w:val="21"/>
              </w:rPr>
              <w:t>　　磋商报价得分=（磋商基准价/最后磋商报价）×价格权值×100</w:t>
            </w:r>
            <w:r>
              <w:rPr>
                <w:rFonts w:hint="eastAsia" w:ascii="仿宋_GB2312" w:hAnsi="新宋体" w:eastAsia="仿宋_GB2312"/>
                <w:color w:val="000000"/>
                <w:szCs w:val="21"/>
                <w:lang w:eastAsia="zh-CN"/>
              </w:rPr>
              <w:t>，</w:t>
            </w:r>
            <w:r>
              <w:rPr>
                <w:rFonts w:hint="eastAsia" w:ascii="仿宋_GB2312" w:hAnsi="新宋体" w:eastAsia="仿宋_GB2312"/>
                <w:color w:val="000000"/>
                <w:szCs w:val="21"/>
              </w:rPr>
              <w:t>计算时保留两位小数。</w:t>
            </w:r>
          </w:p>
          <w:p>
            <w:pPr>
              <w:pStyle w:val="4"/>
              <w:adjustRightInd w:val="0"/>
              <w:snapToGrid w:val="0"/>
              <w:spacing w:line="320" w:lineRule="exact"/>
              <w:rPr>
                <w:rFonts w:ascii="仿宋_GB2312" w:hAnsi="新宋体" w:eastAsia="仿宋_GB2312"/>
                <w:color w:val="000000"/>
                <w:szCs w:val="21"/>
              </w:rPr>
            </w:pPr>
            <w:r>
              <w:rPr>
                <w:rFonts w:hint="eastAsia" w:ascii="仿宋_GB2312" w:hAnsi="新宋体" w:eastAsia="仿宋_GB2312"/>
                <w:color w:val="000000"/>
                <w:szCs w:val="21"/>
              </w:rPr>
              <w:t>　　项目评审过程中，不得去掉最后报价中的最高报价和最低报价。</w:t>
            </w:r>
          </w:p>
        </w:tc>
      </w:tr>
    </w:tbl>
    <w:p>
      <w:pPr>
        <w:spacing w:line="360" w:lineRule="auto"/>
        <w:ind w:firstLine="405"/>
        <w:rPr>
          <w:rFonts w:ascii="仿宋_GB2312" w:hAnsi="新宋体" w:eastAsia="仿宋_GB2312"/>
          <w:b/>
          <w:bCs/>
          <w:sz w:val="20"/>
          <w:szCs w:val="20"/>
        </w:rPr>
      </w:pPr>
      <w:r>
        <w:rPr>
          <w:rFonts w:hint="eastAsia" w:ascii="仿宋_GB2312" w:hAnsi="新宋体" w:eastAsia="仿宋_GB2312"/>
          <w:b/>
          <w:bCs/>
          <w:sz w:val="20"/>
          <w:szCs w:val="20"/>
        </w:rPr>
        <w:t>备注：</w:t>
      </w:r>
    </w:p>
    <w:p>
      <w:pPr>
        <w:pStyle w:val="2"/>
        <w:ind w:firstLine="402"/>
        <w:rPr>
          <w:rFonts w:ascii="仿宋_GB2312" w:hAnsi="新宋体" w:eastAsia="仿宋_GB2312"/>
          <w:b/>
          <w:bCs/>
          <w:sz w:val="20"/>
        </w:rPr>
      </w:pPr>
      <w:r>
        <w:rPr>
          <w:rFonts w:hint="eastAsia" w:ascii="仿宋_GB2312" w:hAnsi="新宋体" w:eastAsia="仿宋_GB2312"/>
          <w:b/>
          <w:bCs/>
          <w:sz w:val="20"/>
        </w:rPr>
        <w:t>1.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12"/>
        <w:shd w:val="clear" w:color="auto" w:fill="FFFFFF"/>
        <w:spacing w:before="150" w:beforeAutospacing="0" w:after="150" w:afterAutospacing="0" w:line="360" w:lineRule="auto"/>
        <w:rPr>
          <w:rFonts w:hint="eastAsia" w:ascii="仿宋_GB2312" w:hAnsi="新宋体" w:eastAsia="仿宋_GB2312"/>
          <w:b/>
          <w:bCs/>
          <w:color w:val="000000"/>
          <w:sz w:val="20"/>
        </w:rPr>
      </w:pPr>
      <w:r>
        <w:rPr>
          <w:rFonts w:hint="eastAsia" w:ascii="仿宋_GB2312" w:hAnsi="新宋体" w:eastAsia="仿宋_GB2312"/>
          <w:b/>
          <w:bCs/>
          <w:sz w:val="20"/>
          <w:szCs w:val="20"/>
        </w:rPr>
        <w:t>2.商务标计算按报价人最终报价计算。</w:t>
      </w:r>
      <w:r>
        <w:rPr>
          <w:rFonts w:hint="eastAsia" w:ascii="仿宋_GB2312" w:hAnsi="新宋体" w:eastAsia="仿宋_GB2312"/>
          <w:b/>
          <w:bCs/>
          <w:color w:val="000000"/>
          <w:sz w:val="20"/>
        </w:rPr>
        <w:t>本次评标采用综合评分法。磋商小组对满足竞争性磋商文件实质性要求的报价文件，按照本章规定的评分标准进行打分，并按得分由高到低顺序推荐中标候选人，或根据采购人授权直接确定中标人，但投标报价低于其成本的除外。评审得分相同的，按照最后报价由低到高的顺序推荐。评审得分且最后报价相同的，按照技术指标优劣顺序推荐。</w:t>
      </w:r>
    </w:p>
    <w:p>
      <w:pPr>
        <w:pStyle w:val="12"/>
        <w:shd w:val="clear" w:color="auto" w:fill="FFFFFF"/>
        <w:spacing w:before="150" w:beforeAutospacing="0" w:after="150" w:afterAutospacing="0" w:line="360" w:lineRule="auto"/>
        <w:rPr>
          <w:rFonts w:hint="eastAsia" w:ascii="仿宋_GB2312" w:hAnsi="新宋体" w:eastAsia="仿宋_GB2312"/>
          <w:b/>
          <w:bCs/>
          <w:color w:val="000000"/>
          <w:sz w:val="20"/>
          <w:lang w:val="en-US" w:eastAsia="zh-CN"/>
        </w:rPr>
      </w:pPr>
      <w:r>
        <w:rPr>
          <w:rFonts w:hint="eastAsia" w:ascii="仿宋_GB2312" w:hAnsi="新宋体" w:eastAsia="仿宋_GB2312"/>
          <w:b/>
          <w:bCs/>
          <w:color w:val="000000"/>
          <w:sz w:val="20"/>
          <w:lang w:val="en-US" w:eastAsia="zh-CN"/>
        </w:rPr>
        <w:t>3.如供应商的最终报价低于项目控制价的 20%，磋商小组可启动磋商报价低于成本问询程序：要求供应商作出书面说明并提供相关证明材料，如供应商在 30 分钟内无法提供不低于成本的相关证明材料， 由磋商小组认定该供应商以低于成本价恶意竞标，其价格部分做 0 分处理。</w:t>
      </w:r>
    </w:p>
    <w:p>
      <w:pPr>
        <w:pStyle w:val="12"/>
        <w:shd w:val="clear" w:color="auto" w:fill="FFFFFF"/>
        <w:spacing w:before="150" w:beforeAutospacing="0" w:after="150" w:afterAutospacing="0"/>
        <w:rPr>
          <w:rFonts w:hint="eastAsia" w:ascii="仿宋_GB2312" w:hAnsi="新宋体" w:eastAsia="仿宋_GB2312"/>
          <w:b/>
          <w:bCs/>
          <w:color w:val="000000"/>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O3c&#10;/KC2AQAAVgMAAA4AAAAAAAAAAQAgAAAAHgEAAGRycy9lMm9Eb2MueG1sUEsFBgAAAAAGAAYAWQEA&#10;AEY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E9"/>
    <w:rsid w:val="000115F7"/>
    <w:rsid w:val="000128B8"/>
    <w:rsid w:val="00016BFD"/>
    <w:rsid w:val="000246F8"/>
    <w:rsid w:val="00033E96"/>
    <w:rsid w:val="000527BB"/>
    <w:rsid w:val="00056AED"/>
    <w:rsid w:val="0008654C"/>
    <w:rsid w:val="00095E05"/>
    <w:rsid w:val="0009726D"/>
    <w:rsid w:val="000A6872"/>
    <w:rsid w:val="000C6BBE"/>
    <w:rsid w:val="000C7A81"/>
    <w:rsid w:val="000D4CE5"/>
    <w:rsid w:val="000E2186"/>
    <w:rsid w:val="000F6D6B"/>
    <w:rsid w:val="00101CA6"/>
    <w:rsid w:val="00104393"/>
    <w:rsid w:val="00120CEA"/>
    <w:rsid w:val="00122B5C"/>
    <w:rsid w:val="00127B67"/>
    <w:rsid w:val="00172B2F"/>
    <w:rsid w:val="001826F7"/>
    <w:rsid w:val="001A1BB8"/>
    <w:rsid w:val="001A3685"/>
    <w:rsid w:val="001F301E"/>
    <w:rsid w:val="001F5EBA"/>
    <w:rsid w:val="00223AA7"/>
    <w:rsid w:val="00227C74"/>
    <w:rsid w:val="0023592C"/>
    <w:rsid w:val="00241FC1"/>
    <w:rsid w:val="00247E29"/>
    <w:rsid w:val="00251305"/>
    <w:rsid w:val="00255A10"/>
    <w:rsid w:val="0027306D"/>
    <w:rsid w:val="002806D7"/>
    <w:rsid w:val="00286F91"/>
    <w:rsid w:val="002912E3"/>
    <w:rsid w:val="002C0DCE"/>
    <w:rsid w:val="00354132"/>
    <w:rsid w:val="00381A36"/>
    <w:rsid w:val="0038354E"/>
    <w:rsid w:val="00384F78"/>
    <w:rsid w:val="003A3307"/>
    <w:rsid w:val="003A3B64"/>
    <w:rsid w:val="003E4FBF"/>
    <w:rsid w:val="003E5C31"/>
    <w:rsid w:val="0042465C"/>
    <w:rsid w:val="00431872"/>
    <w:rsid w:val="004357AA"/>
    <w:rsid w:val="0044058D"/>
    <w:rsid w:val="004451C8"/>
    <w:rsid w:val="00462B04"/>
    <w:rsid w:val="00465FFA"/>
    <w:rsid w:val="0048653B"/>
    <w:rsid w:val="00494208"/>
    <w:rsid w:val="004B1CA9"/>
    <w:rsid w:val="004B5D9E"/>
    <w:rsid w:val="004C2FBC"/>
    <w:rsid w:val="004C6ADC"/>
    <w:rsid w:val="004D4796"/>
    <w:rsid w:val="00501094"/>
    <w:rsid w:val="00505A17"/>
    <w:rsid w:val="0051396C"/>
    <w:rsid w:val="00526415"/>
    <w:rsid w:val="0053126C"/>
    <w:rsid w:val="00532D66"/>
    <w:rsid w:val="005517D8"/>
    <w:rsid w:val="00554BD4"/>
    <w:rsid w:val="00557E5B"/>
    <w:rsid w:val="0056166C"/>
    <w:rsid w:val="00575251"/>
    <w:rsid w:val="00577CD8"/>
    <w:rsid w:val="00587588"/>
    <w:rsid w:val="005C7953"/>
    <w:rsid w:val="00604A95"/>
    <w:rsid w:val="006101C6"/>
    <w:rsid w:val="00617BED"/>
    <w:rsid w:val="006316CE"/>
    <w:rsid w:val="00634949"/>
    <w:rsid w:val="006508ED"/>
    <w:rsid w:val="00680095"/>
    <w:rsid w:val="006A2E4E"/>
    <w:rsid w:val="006B1667"/>
    <w:rsid w:val="006B566D"/>
    <w:rsid w:val="006B5F1F"/>
    <w:rsid w:val="006C22D5"/>
    <w:rsid w:val="006D5BF3"/>
    <w:rsid w:val="006D5ED3"/>
    <w:rsid w:val="006D6F43"/>
    <w:rsid w:val="006F0D3C"/>
    <w:rsid w:val="00710283"/>
    <w:rsid w:val="00714951"/>
    <w:rsid w:val="00731C4C"/>
    <w:rsid w:val="00744A59"/>
    <w:rsid w:val="00754B48"/>
    <w:rsid w:val="00763082"/>
    <w:rsid w:val="00766C6F"/>
    <w:rsid w:val="00770BDF"/>
    <w:rsid w:val="00775F2D"/>
    <w:rsid w:val="007A1F2A"/>
    <w:rsid w:val="008103F6"/>
    <w:rsid w:val="00841971"/>
    <w:rsid w:val="00842F5C"/>
    <w:rsid w:val="008436D6"/>
    <w:rsid w:val="00843EA0"/>
    <w:rsid w:val="0085685E"/>
    <w:rsid w:val="00862199"/>
    <w:rsid w:val="00877547"/>
    <w:rsid w:val="008D3473"/>
    <w:rsid w:val="008D4A74"/>
    <w:rsid w:val="008D5B51"/>
    <w:rsid w:val="00901DA9"/>
    <w:rsid w:val="009111CF"/>
    <w:rsid w:val="00912E34"/>
    <w:rsid w:val="00917353"/>
    <w:rsid w:val="0092386A"/>
    <w:rsid w:val="009333AC"/>
    <w:rsid w:val="0093613A"/>
    <w:rsid w:val="0093781A"/>
    <w:rsid w:val="00960937"/>
    <w:rsid w:val="0096305A"/>
    <w:rsid w:val="00965878"/>
    <w:rsid w:val="00966F82"/>
    <w:rsid w:val="00980BE9"/>
    <w:rsid w:val="00984E78"/>
    <w:rsid w:val="0098580B"/>
    <w:rsid w:val="009B05DF"/>
    <w:rsid w:val="009B48B8"/>
    <w:rsid w:val="009D546E"/>
    <w:rsid w:val="009F57B7"/>
    <w:rsid w:val="00A03FCC"/>
    <w:rsid w:val="00A12B23"/>
    <w:rsid w:val="00A22693"/>
    <w:rsid w:val="00A66E85"/>
    <w:rsid w:val="00AA16B1"/>
    <w:rsid w:val="00AC4743"/>
    <w:rsid w:val="00AC4FF6"/>
    <w:rsid w:val="00AC6171"/>
    <w:rsid w:val="00AC648A"/>
    <w:rsid w:val="00AC7064"/>
    <w:rsid w:val="00AD57E9"/>
    <w:rsid w:val="00AE0050"/>
    <w:rsid w:val="00AE2C55"/>
    <w:rsid w:val="00AE565A"/>
    <w:rsid w:val="00AE6B7D"/>
    <w:rsid w:val="00B37D97"/>
    <w:rsid w:val="00B422CC"/>
    <w:rsid w:val="00B61071"/>
    <w:rsid w:val="00B66142"/>
    <w:rsid w:val="00B87DB2"/>
    <w:rsid w:val="00BC0370"/>
    <w:rsid w:val="00BC669D"/>
    <w:rsid w:val="00BD15BE"/>
    <w:rsid w:val="00C045C9"/>
    <w:rsid w:val="00C41FC1"/>
    <w:rsid w:val="00C4672B"/>
    <w:rsid w:val="00C554DF"/>
    <w:rsid w:val="00C704DC"/>
    <w:rsid w:val="00C7583C"/>
    <w:rsid w:val="00C75C9C"/>
    <w:rsid w:val="00C77263"/>
    <w:rsid w:val="00C8060B"/>
    <w:rsid w:val="00C94576"/>
    <w:rsid w:val="00CA3747"/>
    <w:rsid w:val="00CE7685"/>
    <w:rsid w:val="00D049F5"/>
    <w:rsid w:val="00D204EA"/>
    <w:rsid w:val="00D209FD"/>
    <w:rsid w:val="00D239DE"/>
    <w:rsid w:val="00D34002"/>
    <w:rsid w:val="00D63126"/>
    <w:rsid w:val="00D64C90"/>
    <w:rsid w:val="00D665CD"/>
    <w:rsid w:val="00D76028"/>
    <w:rsid w:val="00D9157E"/>
    <w:rsid w:val="00DA12FB"/>
    <w:rsid w:val="00DA3AC3"/>
    <w:rsid w:val="00DA646A"/>
    <w:rsid w:val="00DB7FCC"/>
    <w:rsid w:val="00DC47E0"/>
    <w:rsid w:val="00DD1A10"/>
    <w:rsid w:val="00DE75E6"/>
    <w:rsid w:val="00E0405F"/>
    <w:rsid w:val="00E14B01"/>
    <w:rsid w:val="00E1767B"/>
    <w:rsid w:val="00E40ED1"/>
    <w:rsid w:val="00E6320A"/>
    <w:rsid w:val="00E643E2"/>
    <w:rsid w:val="00E652DF"/>
    <w:rsid w:val="00E7143F"/>
    <w:rsid w:val="00E721AB"/>
    <w:rsid w:val="00E85276"/>
    <w:rsid w:val="00E901E4"/>
    <w:rsid w:val="00E9314F"/>
    <w:rsid w:val="00E94B33"/>
    <w:rsid w:val="00EA5552"/>
    <w:rsid w:val="00EB5D3C"/>
    <w:rsid w:val="00ED3F8E"/>
    <w:rsid w:val="00ED6919"/>
    <w:rsid w:val="00EE770B"/>
    <w:rsid w:val="00EF37A8"/>
    <w:rsid w:val="00EF6F42"/>
    <w:rsid w:val="00F015B2"/>
    <w:rsid w:val="00F10D7E"/>
    <w:rsid w:val="00F27BC7"/>
    <w:rsid w:val="00F52DE9"/>
    <w:rsid w:val="00F67B38"/>
    <w:rsid w:val="00F83087"/>
    <w:rsid w:val="00F84889"/>
    <w:rsid w:val="00FB2A62"/>
    <w:rsid w:val="00FB3823"/>
    <w:rsid w:val="00FD4208"/>
    <w:rsid w:val="00FE547B"/>
    <w:rsid w:val="00FF1279"/>
    <w:rsid w:val="00FF19EE"/>
    <w:rsid w:val="014806D6"/>
    <w:rsid w:val="02BE5D42"/>
    <w:rsid w:val="052018D3"/>
    <w:rsid w:val="05A22ECE"/>
    <w:rsid w:val="0E1331EC"/>
    <w:rsid w:val="141B7793"/>
    <w:rsid w:val="14AB1D05"/>
    <w:rsid w:val="1D3A4920"/>
    <w:rsid w:val="1E906504"/>
    <w:rsid w:val="202042A9"/>
    <w:rsid w:val="237453D2"/>
    <w:rsid w:val="25F93E7C"/>
    <w:rsid w:val="27C0451E"/>
    <w:rsid w:val="32726ABC"/>
    <w:rsid w:val="349E76E0"/>
    <w:rsid w:val="38381A97"/>
    <w:rsid w:val="3CEB2282"/>
    <w:rsid w:val="4021663B"/>
    <w:rsid w:val="44282ACA"/>
    <w:rsid w:val="4AB31BFA"/>
    <w:rsid w:val="570C6CFC"/>
    <w:rsid w:val="591E5E37"/>
    <w:rsid w:val="5A452253"/>
    <w:rsid w:val="5DB549BD"/>
    <w:rsid w:val="5F4B73FF"/>
    <w:rsid w:val="5F7033C6"/>
    <w:rsid w:val="631A534F"/>
    <w:rsid w:val="64A37409"/>
    <w:rsid w:val="68237E91"/>
    <w:rsid w:val="6B2E3BA7"/>
    <w:rsid w:val="6D315339"/>
    <w:rsid w:val="70C72D42"/>
    <w:rsid w:val="7128470F"/>
    <w:rsid w:val="733D6052"/>
    <w:rsid w:val="744A4BBB"/>
    <w:rsid w:val="77471B72"/>
    <w:rsid w:val="7F89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4"/>
    <w:next w:val="4"/>
    <w:link w:val="21"/>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5"/>
    <w:basedOn w:val="1"/>
    <w:next w:val="1"/>
    <w:semiHidden/>
    <w:unhideWhenUsed/>
    <w:qFormat/>
    <w:uiPriority w:val="9"/>
    <w:pPr>
      <w:spacing w:beforeAutospacing="1" w:afterAutospacing="1"/>
      <w:jc w:val="left"/>
      <w:outlineLvl w:val="4"/>
    </w:pPr>
    <w:rPr>
      <w:rFonts w:hint="eastAsia" w:ascii="宋体" w:hAnsi="宋体" w:cs="Times New Roman"/>
      <w:b/>
      <w:kern w:val="0"/>
      <w:sz w:val="20"/>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Indent"/>
    <w:basedOn w:val="1"/>
    <w:link w:val="28"/>
    <w:unhideWhenUsed/>
    <w:qFormat/>
    <w:uiPriority w:val="0"/>
    <w:pPr>
      <w:ind w:firstLine="830" w:firstLineChars="352"/>
    </w:pPr>
    <w:rPr>
      <w:rFonts w:ascii="仿宋_GB2312" w:hAnsi="Times New Roman" w:eastAsia="仿宋_GB2312" w:cs="Times New Roman"/>
      <w:kern w:val="0"/>
      <w:sz w:val="32"/>
      <w:szCs w:val="20"/>
    </w:rPr>
  </w:style>
  <w:style w:type="paragraph" w:styleId="8">
    <w:name w:val="Balloon Text"/>
    <w:basedOn w:val="1"/>
    <w:link w:val="24"/>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cs="Times New Roman"/>
      <w:kern w:val="0"/>
      <w:sz w:val="22"/>
    </w:rPr>
  </w:style>
  <w:style w:type="paragraph" w:styleId="12">
    <w:name w:val="Normal (Web)"/>
    <w:basedOn w:val="1"/>
    <w:unhideWhenUsed/>
    <w:qFormat/>
    <w:uiPriority w:val="0"/>
    <w:pPr>
      <w:spacing w:beforeAutospacing="1" w:afterAutospacing="1"/>
      <w:jc w:val="left"/>
    </w:pPr>
    <w:rPr>
      <w:rFonts w:cs="Times New Roman"/>
      <w:kern w:val="0"/>
      <w:sz w:val="24"/>
    </w:rPr>
  </w:style>
  <w:style w:type="paragraph" w:styleId="13">
    <w:name w:val="Title"/>
    <w:basedOn w:val="1"/>
    <w:next w:val="1"/>
    <w:link w:val="25"/>
    <w:qFormat/>
    <w:uiPriority w:val="0"/>
    <w:pPr>
      <w:spacing w:before="240" w:after="60"/>
      <w:jc w:val="center"/>
      <w:outlineLvl w:val="0"/>
    </w:pPr>
    <w:rPr>
      <w:rFonts w:ascii="Cambria" w:hAnsi="Cambria" w:eastAsia="方正小标宋简体" w:cs="Times New Roman"/>
      <w:b/>
      <w:bCs/>
      <w:sz w:val="32"/>
      <w:szCs w:val="3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FollowedHyperlink"/>
    <w:basedOn w:val="16"/>
    <w:semiHidden/>
    <w:unhideWhenUsed/>
    <w:qFormat/>
    <w:uiPriority w:val="0"/>
    <w:rPr>
      <w:color w:val="800080"/>
      <w:u w:val="single"/>
    </w:rPr>
  </w:style>
  <w:style w:type="character" w:styleId="19">
    <w:name w:val="Emphasis"/>
    <w:basedOn w:val="16"/>
    <w:qFormat/>
    <w:uiPriority w:val="20"/>
  </w:style>
  <w:style w:type="character" w:styleId="20">
    <w:name w:val="Hyperlink"/>
    <w:basedOn w:val="16"/>
    <w:semiHidden/>
    <w:unhideWhenUsed/>
    <w:qFormat/>
    <w:uiPriority w:val="0"/>
    <w:rPr>
      <w:color w:val="0000FF"/>
      <w:u w:val="single"/>
    </w:rPr>
  </w:style>
  <w:style w:type="character" w:customStyle="1" w:styleId="21">
    <w:name w:val="标题 1 Char"/>
    <w:basedOn w:val="16"/>
    <w:link w:val="3"/>
    <w:qFormat/>
    <w:uiPriority w:val="0"/>
    <w:rPr>
      <w:rFonts w:eastAsia="宋体"/>
      <w:b/>
      <w:bCs/>
      <w:kern w:val="44"/>
      <w:sz w:val="44"/>
      <w:szCs w:val="44"/>
    </w:rPr>
  </w:style>
  <w:style w:type="character" w:customStyle="1" w:styleId="22">
    <w:name w:val="页眉 Char"/>
    <w:basedOn w:val="16"/>
    <w:link w:val="10"/>
    <w:qFormat/>
    <w:uiPriority w:val="99"/>
    <w:rPr>
      <w:sz w:val="18"/>
      <w:szCs w:val="18"/>
    </w:rPr>
  </w:style>
  <w:style w:type="character" w:customStyle="1" w:styleId="23">
    <w:name w:val="页脚 Char"/>
    <w:basedOn w:val="16"/>
    <w:link w:val="9"/>
    <w:qFormat/>
    <w:uiPriority w:val="99"/>
    <w:rPr>
      <w:sz w:val="18"/>
      <w:szCs w:val="18"/>
    </w:rPr>
  </w:style>
  <w:style w:type="character" w:customStyle="1" w:styleId="24">
    <w:name w:val="批注框文本 Char"/>
    <w:basedOn w:val="16"/>
    <w:link w:val="8"/>
    <w:semiHidden/>
    <w:qFormat/>
    <w:uiPriority w:val="99"/>
    <w:rPr>
      <w:sz w:val="18"/>
      <w:szCs w:val="18"/>
    </w:rPr>
  </w:style>
  <w:style w:type="character" w:customStyle="1" w:styleId="25">
    <w:name w:val="标题 Char"/>
    <w:basedOn w:val="16"/>
    <w:link w:val="13"/>
    <w:qFormat/>
    <w:uiPriority w:val="0"/>
    <w:rPr>
      <w:rFonts w:ascii="Cambria" w:hAnsi="Cambria" w:eastAsia="方正小标宋简体"/>
      <w:b/>
      <w:bCs/>
      <w:kern w:val="2"/>
      <w:sz w:val="32"/>
      <w:szCs w:val="32"/>
    </w:rPr>
  </w:style>
  <w:style w:type="character" w:customStyle="1" w:styleId="26">
    <w:name w:val="标题 2 Char"/>
    <w:basedOn w:val="16"/>
    <w:link w:val="5"/>
    <w:semiHidden/>
    <w:qFormat/>
    <w:uiPriority w:val="9"/>
    <w:rPr>
      <w:rFonts w:asciiTheme="majorHAnsi" w:hAnsiTheme="majorHAnsi" w:eastAsiaTheme="majorEastAsia" w:cstheme="majorBidi"/>
      <w:b/>
      <w:bCs/>
      <w:kern w:val="2"/>
      <w:sz w:val="32"/>
      <w:szCs w:val="32"/>
    </w:rPr>
  </w:style>
  <w:style w:type="character" w:customStyle="1" w:styleId="27">
    <w:name w:val="正文文本缩进 Char"/>
    <w:qFormat/>
    <w:uiPriority w:val="0"/>
    <w:rPr>
      <w:rFonts w:ascii="仿宋_GB2312" w:eastAsia="仿宋_GB2312"/>
      <w:sz w:val="32"/>
    </w:rPr>
  </w:style>
  <w:style w:type="character" w:customStyle="1" w:styleId="28">
    <w:name w:val="正文文本缩进 Char1"/>
    <w:basedOn w:val="16"/>
    <w:link w:val="7"/>
    <w:semiHidden/>
    <w:qFormat/>
    <w:uiPriority w:val="0"/>
    <w:rPr>
      <w:rFonts w:ascii="Calibri" w:hAnsi="Calibri" w:cs="黑体"/>
      <w:kern w:val="2"/>
      <w:sz w:val="21"/>
      <w:szCs w:val="22"/>
    </w:rPr>
  </w:style>
  <w:style w:type="character" w:customStyle="1" w:styleId="29">
    <w:name w:val="last-child"/>
    <w:basedOn w:val="16"/>
    <w:qFormat/>
    <w:uiPriority w:val="0"/>
  </w:style>
  <w:style w:type="character" w:customStyle="1" w:styleId="30">
    <w:name w:val="is_active1"/>
    <w:basedOn w:val="16"/>
    <w:qFormat/>
    <w:uiPriority w:val="0"/>
    <w:rPr>
      <w:color w:val="FFFFFF"/>
      <w:shd w:val="clear" w:color="auto" w:fill="F07C1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A3E6D-4901-4B8B-BAF8-57FD91EB14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392</Words>
  <Characters>2235</Characters>
  <Lines>18</Lines>
  <Paragraphs>5</Paragraphs>
  <TotalTime>3</TotalTime>
  <ScaleCrop>false</ScaleCrop>
  <LinksUpToDate>false</LinksUpToDate>
  <CharactersWithSpaces>2622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2019-10-28T08:04:00Z</dcterms:created>
  <dc:creator>wangh</dc:creator>
  <cp:lastModifiedBy>Administrator</cp:lastModifiedBy>
  <cp:lastPrinted>2020-06-01T12:25:00Z</cp:lastPrinted>
  <dcterms:modified xsi:type="dcterms:W3CDTF">2020-07-21T01:36:27Z</dcterms:modified>
  <dc:title>湖北省省级政府采购需求公示</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