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2023年度阳新县新型研发机构拟备案名单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申报主体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研发机构名称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县级产业技术研究院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湖北师范大学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阳新县现代农业产业技术研究院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县级重点实验室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湖北美顺和医学科技有限公司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阳新县美顺和医学科技实验室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黄石北富生态种养殖股份有限公司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阳新县北富小龙虾高效繁养实验室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县级农业研发平台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阳新县德仕宝农业旅游开发有限公司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阳新县德仕宝农业公司黄金芽新品种培育基地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阳新茧丝绸有限公司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阳新县桑蚕产业技术研发中心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湖北申宇生态农业发展有限公司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食用菌种植技术研发平台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阳新县白沙镇利芬家庭农场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阳新县白沙镇金龙村土壤改良实验基地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湖北玖月侬农业发展有限公司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玖月侬研发平台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阳新县瑞明生态农业发展有限公司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大棚富硒羊肚菌品种培育基地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阳新县园艺场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阳新县园果茶产业研发平台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阳新县冉秦家庭农场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阳新县吴茱萸土壤改良实验基地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阳新县下磨村同旺花菇种植专业合作社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阳新县同旺食用菌种繁育基地（中心）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湖北银山头农业科技有限公司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湖北银山头优质柑橘土肥改良实验基地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阳新县龙港镇松和家庭农场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阳新县茶叶病虫害防控基地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阳新县玉麟果蔬专业合作社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阳新县玉麟蔬菜种苗繁育基地（中心）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县级企业研发中心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湖北朗玛服饰有限公司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阳新县自动化设备和功能材料研发中心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湖北良泰鞋业有限公司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阳新县良泰鞋业研发中心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湖北联达铭磁科技有限公司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湖北联达铭磁电子元器件研发中心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湖北众源鞋业有限公司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阳新县众源鞋业研发中心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湖北美和科技有限公司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阳新县锅炉结焦抑制剂研发中心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湖北人来康复设备制造有限公司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阳新县人来康复研发中心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湖北铵泽精密轴承有限公司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阳新县铵泽轴承研发中心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/>
              <w:jc w:val="center"/>
              <w:textAlignment w:val="auto"/>
              <w:rPr>
                <w:rFonts w:hint="default" w:ascii="仿宋_GB2312" w:hAnsi="Tahoma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黄石市祥金源电子科技有限公司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firstLine="0"/>
              <w:jc w:val="center"/>
              <w:textAlignment w:val="auto"/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新能源电池研发中心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TIyNGVlZGQ0MGZmNGViNzk2YTRmYjQ0MGQ4MWIifQ=="/>
  </w:docVars>
  <w:rsids>
    <w:rsidRoot w:val="1F6D2B05"/>
    <w:rsid w:val="1F6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2023-12-15T06:35:00Z</dcterms:created>
  <dc:creator>她曾赠我满天萤火</dc:creator>
  <cp:lastModifiedBy>她曾赠我满天萤火</cp:lastModifiedBy>
  <dcterms:modified xsi:type="dcterms:W3CDTF">2023-12-15T06:44:43Z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A210F0E2CCC34B61818DB68F51325F89_11</vt:lpwstr>
  </property>
</Properties>
</file>